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年太湖县农业农村局农产品质量安全定量检测</w:t>
      </w:r>
    </w:p>
    <w:p>
      <w:pPr>
        <w:pStyle w:val="3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计划安排</w:t>
      </w:r>
      <w:r>
        <w:rPr>
          <w:rFonts w:hint="eastAsia"/>
          <w:b/>
          <w:bCs/>
          <w:sz w:val="32"/>
          <w:szCs w:val="32"/>
          <w:lang w:eastAsia="zh-CN"/>
        </w:rPr>
        <w:t>（第</w:t>
      </w:r>
      <w:r>
        <w:rPr>
          <w:rFonts w:hint="eastAsia"/>
          <w:b/>
          <w:bCs/>
          <w:sz w:val="32"/>
          <w:szCs w:val="32"/>
          <w:lang w:val="en-US" w:eastAsia="zh-CN"/>
        </w:rPr>
        <w:t>2包</w:t>
      </w:r>
      <w:r>
        <w:rPr>
          <w:rFonts w:hint="eastAsia"/>
          <w:b/>
          <w:bCs/>
          <w:sz w:val="32"/>
          <w:szCs w:val="32"/>
          <w:lang w:eastAsia="zh-CN"/>
        </w:rPr>
        <w:t>）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eastAsia="黑体"/>
          <w:kern w:val="0"/>
          <w:sz w:val="32"/>
          <w:szCs w:val="32"/>
          <w:lang w:eastAsia="zh-CN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eastAsia="zh-CN"/>
        </w:rPr>
        <w:t>一、</w:t>
      </w:r>
      <w:r>
        <w:rPr>
          <w:rFonts w:eastAsia="黑体"/>
          <w:kern w:val="0"/>
          <w:sz w:val="32"/>
          <w:szCs w:val="32"/>
        </w:rPr>
        <w:t>监测项目和检测依据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（一）种植业产品。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1．抽样方法：</w:t>
      </w:r>
      <w:r>
        <w:rPr>
          <w:rFonts w:eastAsia="仿宋_GB2312"/>
          <w:kern w:val="0"/>
          <w:sz w:val="32"/>
          <w:szCs w:val="32"/>
        </w:rPr>
        <w:t>按照NY/T 789－2004《农药残留分析样本的采样方法》规定执行。</w:t>
      </w:r>
    </w:p>
    <w:p>
      <w:pPr>
        <w:adjustRightInd w:val="0"/>
        <w:snapToGrid w:val="0"/>
        <w:spacing w:line="60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2．监测项目和检测方法</w:t>
      </w:r>
    </w:p>
    <w:p>
      <w:pPr>
        <w:adjustRightInd w:val="0"/>
        <w:snapToGrid w:val="0"/>
        <w:spacing w:line="60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2.1 蔬菜、食用菌、水果监测项目和检测方法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6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  <w:jc w:val="center"/>
        </w:trPr>
        <w:tc>
          <w:tcPr>
            <w:tcW w:w="63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监测项目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346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禁用农药：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甲胺磷、对硫磷、甲基对硫磷、六六六（α-六六六、β-六六六、γ-六六六、δ-六六六）、三氯杀螨醇；</w:t>
            </w:r>
          </w:p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限用农药：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甲拌磷（包括甲拌磷砜和甲拌磷亚砜）、氧乐果、水胺硫磷、甲基异柳磷、克百威（包括3-羟基克百威）、涕灭威（包括涕灭威砜和涕灭威亚砜）、毒死蜱、三唑磷、乐果、乙酰甲胺磷、灭多威、氟虫腈（包括氟甲腈、氟虫腈硫醚和氟虫腈砜）、灭线磷、内吸磷、硫环磷、氯唑磷；</w:t>
            </w:r>
          </w:p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常规农药：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敌敌畏、丙溴磷、辛硫磷、氯氰菊酯、氰戊菊酯、甲氰菊酯、氯氟氰菊酯、氟氯氰菊酯、溴氰菊酯、联苯菊酯、三唑酮、百菌清、异菌脲、腐霉利、五氯硝基苯、多菌灵、吡虫啉、啶虫脒、哒螨灵、苯醚甲环唑、嘧霉胺、甲氨基阿维菌素苯甲酸盐、烯酰吗啉、虫螨腈、咪鲜胺、嘧菌酯、二甲戊灵、噻虫嗪、氟啶脲、灭幼脲、灭蝇胺、甲霜灵、霜霉威、多效唑、氯吡脲、氯虫苯甲酰胺、阿维菌素、除虫脲。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按GB/T 20769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或GB 23200.113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或GB 23200.121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或NY/T 761进行检测</w:t>
            </w:r>
          </w:p>
        </w:tc>
      </w:tr>
    </w:tbl>
    <w:p>
      <w:pPr>
        <w:adjustRightInd w:val="0"/>
        <w:snapToGrid w:val="0"/>
        <w:spacing w:before="156" w:beforeLines="50" w:after="156" w:afterLines="50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2.2 菊花监测项目和检测方法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6"/>
        <w:gridCol w:w="2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634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监测项目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4"/>
              </w:rPr>
              <w:t>检测方法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6346" w:type="dxa"/>
            <w:noWrap w:val="0"/>
            <w:vAlign w:val="center"/>
          </w:tcPr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禁用农药：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甲胺磷、对硫磷、甲基对硫磷；</w:t>
            </w:r>
          </w:p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限用农药：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甲拌磷（包括甲拌磷砜和甲拌磷亚砜）、水胺硫磷、甲基异柳磷、克百威（包括3-羟基克百威）、涕灭威（包括涕灭威砜和涕灭威亚砜）、毒死蜱、乙酰甲胺磷、氟虫腈（包括氟甲腈、氟虫腈硫醚和氟虫腈砜）、灭线磷、内吸磷、硫环磷、氯唑磷；</w:t>
            </w:r>
          </w:p>
          <w:p>
            <w:pPr>
              <w:adjustRightInd w:val="0"/>
              <w:snapToGrid w:val="0"/>
              <w:spacing w:before="93" w:beforeLines="30" w:line="300" w:lineRule="auto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kern w:val="0"/>
                <w:sz w:val="24"/>
                <w:szCs w:val="20"/>
              </w:rPr>
              <w:t>常规农药：</w:t>
            </w:r>
            <w:r>
              <w:rPr>
                <w:rFonts w:eastAsia="仿宋_GB2312"/>
                <w:kern w:val="0"/>
                <w:sz w:val="24"/>
                <w:szCs w:val="20"/>
              </w:rPr>
              <w:t>氰戊菊酯、联苯菊酯、氯氰菊酯、溴氰菊酯、甲氰菊酯、吡虫啉、啶虫脒。</w:t>
            </w:r>
          </w:p>
        </w:tc>
        <w:tc>
          <w:tcPr>
            <w:tcW w:w="2714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按GB/T 20769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或GB 23200.113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或GB 23200.116</w:t>
            </w: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楷体_GB2312"/>
                <w:bCs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或GB 23200.121进行检测</w:t>
            </w:r>
          </w:p>
        </w:tc>
      </w:tr>
    </w:tbl>
    <w:p>
      <w:pPr>
        <w:adjustRightInd w:val="0"/>
        <w:snapToGrid w:val="0"/>
        <w:spacing w:line="560" w:lineRule="exact"/>
        <w:ind w:firstLine="640" w:firstLineChars="200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（二）畜禽产品。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1．抽样方法：</w:t>
      </w:r>
      <w:r>
        <w:rPr>
          <w:rFonts w:eastAsia="仿宋_GB2312"/>
          <w:kern w:val="0"/>
          <w:sz w:val="32"/>
          <w:szCs w:val="32"/>
        </w:rPr>
        <w:t>按照《动物及动物产品兽药残留监控抽样规范》（ NY/T 1897－2010）规定执行。</w:t>
      </w:r>
    </w:p>
    <w:p>
      <w:pPr>
        <w:adjustRightInd w:val="0"/>
        <w:snapToGrid w:val="0"/>
        <w:spacing w:line="56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2．监测项目和检测依据：</w:t>
      </w:r>
      <w:r>
        <w:rPr>
          <w:rFonts w:eastAsia="仿宋_GB2312"/>
          <w:kern w:val="0"/>
          <w:sz w:val="32"/>
          <w:szCs w:val="32"/>
        </w:rPr>
        <w:t>猪尿、牛尿、羊尿可以先用酶联免疫法、金标试纸法等快速测定方法进行筛选，阳性样品需用液质联用法进行确认，具体检测方法见下表。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897"/>
        <w:gridCol w:w="5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0"/>
              </w:rPr>
              <w:t>监测项目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0"/>
              </w:rPr>
              <w:t>样品种类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仿宋_GB2312"/>
                <w:b/>
                <w:bCs/>
                <w:kern w:val="0"/>
                <w:sz w:val="24"/>
                <w:szCs w:val="20"/>
              </w:rPr>
              <w:t>检  测  依  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“瘦肉精”类（克伦特罗、莱克多巴胺、沙丁胺醇）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猪尿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牛尿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羊尿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《动物尿液中11种β－受体激动剂的检测 液相色谱－串联质谱法》（农业部1063号公告－3－2008 ）（确认方法）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eastAsia="仿宋_GB2312"/>
                <w:kern w:val="0"/>
                <w:sz w:val="24"/>
                <w:szCs w:val="20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牛肉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《动物源性食品中β－受体激动剂残留检测 液相色谱－串联质谱法》（农业部1025号公告－18－2008 ）（确认方法）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氟喹诺酮类（恩诺沙星、环丙沙星、沙拉沙星、达氟沙星、氧氟沙星、培氟沙星、诺氟沙星、洛美沙星）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禽肉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禽蛋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GB 31658.17-2021 食品安全国家标准 动物性食品中四环素类、磺胺类和喹诺酮类药物残留量的测定 液相色谱－串联质谱法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酰胺醇类（氟苯尼考、氟苯尼考胺、甲砜霉素、氯霉素）、金刚烷胺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禽肉禽蛋</w:t>
            </w:r>
          </w:p>
        </w:tc>
        <w:tc>
          <w:tcPr>
            <w:tcW w:w="544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 xml:space="preserve">《食品安全国家标准 动物性食品中酰胺醇类药物及其代谢物残留量的测定 液相色谱-串联质谱法》GB 31658.20-2022 </w:t>
            </w:r>
          </w:p>
          <w:p>
            <w:pPr>
              <w:adjustRightInd w:val="0"/>
              <w:snapToGrid w:val="0"/>
              <w:spacing w:line="400" w:lineRule="exact"/>
              <w:rPr>
                <w:rFonts w:eastAsia="仿宋_GB2312"/>
                <w:kern w:val="0"/>
                <w:sz w:val="24"/>
                <w:szCs w:val="20"/>
              </w:rPr>
            </w:pPr>
            <w:r>
              <w:rPr>
                <w:rFonts w:eastAsia="仿宋_GB2312"/>
                <w:kern w:val="0"/>
                <w:sz w:val="24"/>
                <w:szCs w:val="20"/>
              </w:rPr>
              <w:t>《食品安全国家标准 动物性食品中金刚烷胺残留量的测定 液相色谱－串联质谱法》（GB 31660.5－2019）</w:t>
            </w:r>
          </w:p>
        </w:tc>
      </w:tr>
    </w:tbl>
    <w:p>
      <w:pPr>
        <w:adjustRightInd w:val="0"/>
        <w:snapToGrid w:val="0"/>
        <w:spacing w:line="570" w:lineRule="exact"/>
        <w:ind w:firstLine="640" w:firstLineChars="200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>（三）水产品。</w:t>
      </w:r>
    </w:p>
    <w:p>
      <w:pPr>
        <w:adjustRightInd w:val="0"/>
        <w:snapToGrid w:val="0"/>
        <w:spacing w:line="570" w:lineRule="exact"/>
        <w:ind w:firstLine="643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1．抽样方法：</w:t>
      </w:r>
      <w:r>
        <w:rPr>
          <w:rFonts w:eastAsia="仿宋_GB2312"/>
          <w:kern w:val="0"/>
          <w:sz w:val="32"/>
          <w:szCs w:val="32"/>
        </w:rPr>
        <w:t>按照《水产品抽样规范》（GB/T 30891－2014）规定执行。</w:t>
      </w:r>
    </w:p>
    <w:p>
      <w:pPr>
        <w:adjustRightInd w:val="0"/>
        <w:snapToGrid w:val="0"/>
        <w:spacing w:line="570" w:lineRule="exact"/>
        <w:ind w:firstLine="643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2．监测项目和检测依据</w:t>
      </w:r>
    </w:p>
    <w:p>
      <w:pPr>
        <w:adjustRightInd w:val="0"/>
        <w:snapToGrid w:val="0"/>
        <w:spacing w:line="570" w:lineRule="exact"/>
        <w:ind w:firstLine="320" w:firstLineChars="1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（1） 禁用药物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氯霉素：先用酶联免疫法进行筛检，阳性样品用农业部958号公告－14－2007 《水产品中氯霉素、甲砜霉素、氟甲砜霉素残留量的测定 气相色谱－质谱法》、GB/T 20756－2006 《可食动物肌肉、肝脏和水产品中氯霉素、甲砜霉素和氟苯尼考残留量的测定 液相色谱－串联质谱法》之一进行确证。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孔雀石绿：先按DB34/T 1421－2011《水产品中孔雀石绿及其代谢物残留量的快速筛选测定 酶联免疫法》进行筛检，或按GB/T 20361－2006 《水产品中孔雀石绿和结晶紫残留量的测定 高效液相色谱荧光检测法》、GB/T 19857－2005《水产品中孔雀石绿和结晶紫残留量的测定》检测，阳性样品用GB/T 19857－2005《水产品中孔雀石绿和结晶紫残留量的测定》中的液相色谱－串联质谱法进行确证。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硝基呋喃类代谢物（包括呋喃唑酮代谢物AOZ、呋喃它酮代谢物AMOZ、呋喃西林代谢物SEM和呋喃妥因代谢物AHD）：先用酶联免疫法进行筛选，阳性样品用农业部783公告－1－2006《水产品中硝基呋喃类代谢物残留量的测定 液相色谱－串联质谱法》或</w:t>
      </w:r>
      <w:r>
        <w:fldChar w:fldCharType="begin"/>
      </w:r>
      <w:r>
        <w:instrText xml:space="preserve"> HYPERLINK "http://down.foodmate.net/standard/sort/3/11087.html" \t "_blank" \o "GB/T 20752-2006 猪肉、牛肉、鸡肉、猪肝和水产品中硝基呋喃类代谢物残留量的测定 液相色谱-串联质谱法" </w:instrText>
      </w:r>
      <w:r>
        <w:fldChar w:fldCharType="separate"/>
      </w:r>
      <w:r>
        <w:rPr>
          <w:rFonts w:eastAsia="仿宋_GB2312"/>
          <w:kern w:val="0"/>
          <w:sz w:val="32"/>
          <w:szCs w:val="32"/>
        </w:rPr>
        <w:t>GB/T 20752－2006 《猪肉、牛肉、鸡肉、猪肝和水产品中硝基呋喃类代谢物残留量的测定 液相色谱－串联质谱法</w:t>
      </w:r>
      <w:r>
        <w:rPr>
          <w:rFonts w:eastAsia="仿宋_GB2312"/>
          <w:kern w:val="0"/>
          <w:sz w:val="32"/>
          <w:szCs w:val="32"/>
        </w:rPr>
        <w:fldChar w:fldCharType="end"/>
      </w:r>
      <w:r>
        <w:rPr>
          <w:rFonts w:eastAsia="仿宋_GB2312"/>
          <w:kern w:val="0"/>
          <w:sz w:val="32"/>
          <w:szCs w:val="32"/>
        </w:rPr>
        <w:t>》进行确证。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（2）常规药物。氟喹诺酮类（主要包括恩诺沙星、环丙沙星）：以酶联免疫法或胶体金法等现行有效方法进行筛选、检测，阳性样品按农业部1077号公告-1-2008或等效方法确认。</w:t>
      </w:r>
    </w:p>
    <w:p>
      <w:pPr>
        <w:adjustRightInd w:val="0"/>
        <w:snapToGrid w:val="0"/>
        <w:spacing w:line="57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（3）停用药物。包括氧氟沙星、培氟沙星、诺氟沙星、洛美沙星：以酶联免疫法或胶体金法等现行有效方法进行筛选、检测，阳性样品按农业部1077号公告-1-2008或等效方法确认。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二、定量检测计划安排</w:t>
      </w:r>
    </w:p>
    <w:p>
      <w:pPr>
        <w:adjustRightInd w:val="0"/>
        <w:snapToGrid w:val="0"/>
        <w:spacing w:line="570" w:lineRule="exact"/>
        <w:ind w:firstLine="640" w:firstLineChars="200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88</w:t>
      </w:r>
      <w:r>
        <w:rPr>
          <w:rFonts w:hint="eastAsia" w:eastAsia="仿宋_GB2312"/>
          <w:kern w:val="0"/>
          <w:sz w:val="32"/>
          <w:szCs w:val="32"/>
        </w:rPr>
        <w:t>批次，徐桥、大石、江塘、新仓、寺前、汤泉、牛镇、百里8个乡镇。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lkYmExM2VkMTcwOGQ2OTA0ZDRkMGZlYzQ1M2EwZDYifQ=="/>
  </w:docVars>
  <w:rsids>
    <w:rsidRoot w:val="00A57722"/>
    <w:rsid w:val="00062140"/>
    <w:rsid w:val="003826B8"/>
    <w:rsid w:val="00487679"/>
    <w:rsid w:val="00601BD9"/>
    <w:rsid w:val="00A57722"/>
    <w:rsid w:val="00B76E66"/>
    <w:rsid w:val="04A81021"/>
    <w:rsid w:val="10F15D06"/>
    <w:rsid w:val="194F3D8C"/>
    <w:rsid w:val="20ED4115"/>
    <w:rsid w:val="2119694A"/>
    <w:rsid w:val="2B5A0AA1"/>
    <w:rsid w:val="2CF1532E"/>
    <w:rsid w:val="40911C49"/>
    <w:rsid w:val="67D71AB0"/>
    <w:rsid w:val="694F180E"/>
    <w:rsid w:val="6A97410F"/>
    <w:rsid w:val="7A5C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1007</Words>
  <Characters>1021</Characters>
  <Lines>7</Lines>
  <Paragraphs>2</Paragraphs>
  <TotalTime>0</TotalTime>
  <ScaleCrop>false</ScaleCrop>
  <LinksUpToDate>false</LinksUpToDate>
  <CharactersWithSpaces>1030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2021-04-19T06:54:00Z</dcterms:created>
  <dc:creator>Administrator</dc:creator>
  <cp:lastModifiedBy>越国家声</cp:lastModifiedBy>
  <dcterms:modified xsi:type="dcterms:W3CDTF">2024-05-10T07:23:59Z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93009A09DE874BDD99E56162CCC2CE63_12</vt:lpwstr>
  </property>
</Properties>
</file>