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444444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关于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  <w:t>公开选取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太湖县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2024年农村公路路面养护大中修及预防性养护工程二标段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【施工图设计】机构的公告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>
            <w:pPr>
              <w:jc w:val="center"/>
              <w:rPr>
                <w:rStyle w:val="7"/>
                <w:rFonts w:ascii="宋体"/>
                <w:b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太湖县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2024年农村公路路面养护大中修及预防性养护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工程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二标段</w:t>
            </w:r>
            <w:r>
              <w:rPr>
                <w:rFonts w:hint="eastAsia" w:ascii="宋体" w:hAnsi="宋体" w:cs="方正小标宋_GBK"/>
                <w:bCs/>
                <w:sz w:val="28"/>
                <w:szCs w:val="28"/>
              </w:rPr>
              <w:t>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太湖县公路管理服务中心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>
            <w:pPr>
              <w:numPr>
                <w:ilvl w:val="0"/>
                <w:numId w:val="1"/>
              </w:numPr>
              <w:jc w:val="left"/>
              <w:rPr>
                <w:rStyle w:val="7"/>
                <w:rFonts w:asci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2024年农村公路路面养护大中修及预防性养护工程施工图设计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二标段涉及北中镇等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15个乡镇大中修和预防性养护项目共68条道路；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Style w:val="7"/>
                <w:rFonts w:ascii="宋体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路面大中修设计包括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道路破损面板恢复，修复边沟及挡墙，安防设施补缺补差等内容；路面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预防性养护设计包括路肩平整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  <w:t>，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疏通边沟，恢复部分破损极其严重的面板等内容；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Style w:val="7"/>
                <w:rFonts w:ascii="宋体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二标段投资费用控制在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FF0000"/>
                <w:sz w:val="28"/>
                <w:szCs w:val="28"/>
                <w:lang w:eastAsia="zh-CN"/>
              </w:rPr>
              <w:t>在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956万左右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>
            <w:pPr>
              <w:ind w:firstLine="2380" w:firstLineChars="850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>
            <w:pPr>
              <w:jc w:val="center"/>
              <w:rPr>
                <w:rFonts w:ascii="宋体"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中选后</w:t>
            </w:r>
            <w:r>
              <w:rPr>
                <w:rStyle w:val="7"/>
                <w:rFonts w:hint="default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>
            <w:pPr>
              <w:jc w:val="left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本次采购服务金额按相关收费标准及结合市场调节价计算，最终以中标价为准；中标价即合同价，为中选人完成本项目所有工作量和提供采购单位要求的相关文本、文件及其他服务内容的全部费用，成交后采购人不再追加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服务内容：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太湖县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2024年农村公路路面养护大中修及预防性养护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工程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二标段</w:t>
            </w:r>
            <w:r>
              <w:rPr>
                <w:rFonts w:hint="eastAsia" w:ascii="宋体" w:hAnsi="宋体" w:cs="方正小标宋_GBK"/>
                <w:bCs/>
                <w:sz w:val="28"/>
                <w:szCs w:val="28"/>
              </w:rPr>
              <w:t>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直接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选取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hint="default" w:ascii="宋体" w:eastAsia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设计报价在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29.8万元以内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>
            <w:pPr>
              <w:jc w:val="left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资格条件：经县交通运输行业主管部门审批入驻太湖县中介超市的具有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丙级及以上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设计资质企业；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叶</w:t>
            </w: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>18956992163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>0556-4161503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中选公示结束后</w:t>
            </w:r>
            <w:r>
              <w:rPr>
                <w:rStyle w:val="7"/>
                <w:rFonts w:hint="default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日历天内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eastAsia="zh-CN"/>
              </w:rPr>
              <w:t>完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成施工图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eastAsia="zh-CN"/>
              </w:rPr>
              <w:t>设计及评审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逾期违约</w:t>
            </w:r>
            <w:r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  <w:t>1000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天。</w:t>
            </w:r>
          </w:p>
        </w:tc>
      </w:tr>
    </w:tbl>
    <w:p>
      <w:pPr>
        <w:rPr>
          <w:rFonts w:ascii="宋体"/>
          <w:sz w:val="28"/>
          <w:szCs w:val="28"/>
          <w:shd w:val="clear" w:color="auto" w:fill="FFFFFF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34CF6"/>
    <w:multiLevelType w:val="singleLevel"/>
    <w:tmpl w:val="B6134CF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B7415BE"/>
    <w:multiLevelType w:val="multilevel"/>
    <w:tmpl w:val="0B7415BE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Q2NmU4NjEyM2U2Y2RkYmVhYTc5NGI5MWRmMWMwOTgifQ=="/>
    <w:docVar w:name="KSO_WPS_MARK_KEY" w:val="8d93c75a-04db-4b2b-a9ae-266c08d5365f"/>
  </w:docVars>
  <w:rsids>
    <w:rsidRoot w:val="009740E0"/>
    <w:rsid w:val="00001229"/>
    <w:rsid w:val="00012DAD"/>
    <w:rsid w:val="00017F48"/>
    <w:rsid w:val="00020CA8"/>
    <w:rsid w:val="0003516A"/>
    <w:rsid w:val="00040296"/>
    <w:rsid w:val="00046831"/>
    <w:rsid w:val="00052C7E"/>
    <w:rsid w:val="00056ABE"/>
    <w:rsid w:val="00057662"/>
    <w:rsid w:val="00065FC9"/>
    <w:rsid w:val="00077FBA"/>
    <w:rsid w:val="00090501"/>
    <w:rsid w:val="000A0146"/>
    <w:rsid w:val="000E77E3"/>
    <w:rsid w:val="000F3034"/>
    <w:rsid w:val="000F53AB"/>
    <w:rsid w:val="00133B16"/>
    <w:rsid w:val="001429F2"/>
    <w:rsid w:val="00161ADF"/>
    <w:rsid w:val="0017496E"/>
    <w:rsid w:val="0019145F"/>
    <w:rsid w:val="001B24EF"/>
    <w:rsid w:val="001D5AB6"/>
    <w:rsid w:val="001E1BF8"/>
    <w:rsid w:val="001F0898"/>
    <w:rsid w:val="001F7861"/>
    <w:rsid w:val="00213F3E"/>
    <w:rsid w:val="00216D7C"/>
    <w:rsid w:val="002301BB"/>
    <w:rsid w:val="00234A9D"/>
    <w:rsid w:val="002748C3"/>
    <w:rsid w:val="00283418"/>
    <w:rsid w:val="002A227E"/>
    <w:rsid w:val="002F05A9"/>
    <w:rsid w:val="00307E14"/>
    <w:rsid w:val="00312168"/>
    <w:rsid w:val="00313172"/>
    <w:rsid w:val="00314943"/>
    <w:rsid w:val="00324E04"/>
    <w:rsid w:val="00326F06"/>
    <w:rsid w:val="00343D32"/>
    <w:rsid w:val="00392F11"/>
    <w:rsid w:val="003A1A49"/>
    <w:rsid w:val="003A4E0C"/>
    <w:rsid w:val="003C2DDF"/>
    <w:rsid w:val="003F68DE"/>
    <w:rsid w:val="00406ABA"/>
    <w:rsid w:val="004174A2"/>
    <w:rsid w:val="00436449"/>
    <w:rsid w:val="00481628"/>
    <w:rsid w:val="00486DDE"/>
    <w:rsid w:val="004E3C59"/>
    <w:rsid w:val="00505B06"/>
    <w:rsid w:val="00521469"/>
    <w:rsid w:val="005269A9"/>
    <w:rsid w:val="00540369"/>
    <w:rsid w:val="005474BD"/>
    <w:rsid w:val="0055010D"/>
    <w:rsid w:val="00556887"/>
    <w:rsid w:val="00573356"/>
    <w:rsid w:val="00575CBC"/>
    <w:rsid w:val="005B0003"/>
    <w:rsid w:val="005B64C4"/>
    <w:rsid w:val="005C555D"/>
    <w:rsid w:val="005D3304"/>
    <w:rsid w:val="00611E2D"/>
    <w:rsid w:val="00614AD6"/>
    <w:rsid w:val="00615F13"/>
    <w:rsid w:val="00621244"/>
    <w:rsid w:val="0062127A"/>
    <w:rsid w:val="00627E08"/>
    <w:rsid w:val="00646016"/>
    <w:rsid w:val="00657B30"/>
    <w:rsid w:val="00665453"/>
    <w:rsid w:val="00676796"/>
    <w:rsid w:val="006858BB"/>
    <w:rsid w:val="00697EFD"/>
    <w:rsid w:val="006A72FA"/>
    <w:rsid w:val="006C4D34"/>
    <w:rsid w:val="006D0102"/>
    <w:rsid w:val="006D04E7"/>
    <w:rsid w:val="006E0C18"/>
    <w:rsid w:val="006F798B"/>
    <w:rsid w:val="0071625C"/>
    <w:rsid w:val="00717146"/>
    <w:rsid w:val="00732C8D"/>
    <w:rsid w:val="0073613B"/>
    <w:rsid w:val="0074193D"/>
    <w:rsid w:val="00747D31"/>
    <w:rsid w:val="0075742F"/>
    <w:rsid w:val="007577C9"/>
    <w:rsid w:val="007936AC"/>
    <w:rsid w:val="007A0234"/>
    <w:rsid w:val="007D4CE3"/>
    <w:rsid w:val="007D7A6F"/>
    <w:rsid w:val="007F6303"/>
    <w:rsid w:val="00831150"/>
    <w:rsid w:val="008315C9"/>
    <w:rsid w:val="00864EED"/>
    <w:rsid w:val="008777FF"/>
    <w:rsid w:val="00880191"/>
    <w:rsid w:val="00884642"/>
    <w:rsid w:val="00884901"/>
    <w:rsid w:val="008956C1"/>
    <w:rsid w:val="008A1C90"/>
    <w:rsid w:val="008A735B"/>
    <w:rsid w:val="008C5C9C"/>
    <w:rsid w:val="008E24CE"/>
    <w:rsid w:val="008E2549"/>
    <w:rsid w:val="008E38BA"/>
    <w:rsid w:val="00911DDB"/>
    <w:rsid w:val="0091382F"/>
    <w:rsid w:val="00924251"/>
    <w:rsid w:val="00932541"/>
    <w:rsid w:val="00971753"/>
    <w:rsid w:val="009740E0"/>
    <w:rsid w:val="00975B47"/>
    <w:rsid w:val="00977B6D"/>
    <w:rsid w:val="009E0593"/>
    <w:rsid w:val="009E0C3A"/>
    <w:rsid w:val="009E2E37"/>
    <w:rsid w:val="009E5246"/>
    <w:rsid w:val="009F4876"/>
    <w:rsid w:val="00A07E2D"/>
    <w:rsid w:val="00A2637E"/>
    <w:rsid w:val="00A42F9D"/>
    <w:rsid w:val="00A5172F"/>
    <w:rsid w:val="00A84F95"/>
    <w:rsid w:val="00AA50CE"/>
    <w:rsid w:val="00AB3941"/>
    <w:rsid w:val="00AC42C2"/>
    <w:rsid w:val="00AF1267"/>
    <w:rsid w:val="00B02F9C"/>
    <w:rsid w:val="00B04AE7"/>
    <w:rsid w:val="00B0544B"/>
    <w:rsid w:val="00B1169F"/>
    <w:rsid w:val="00B25B95"/>
    <w:rsid w:val="00B2730F"/>
    <w:rsid w:val="00B328D5"/>
    <w:rsid w:val="00B32F36"/>
    <w:rsid w:val="00B5645C"/>
    <w:rsid w:val="00B579AF"/>
    <w:rsid w:val="00B60B5C"/>
    <w:rsid w:val="00B7555D"/>
    <w:rsid w:val="00B7603F"/>
    <w:rsid w:val="00B76E0F"/>
    <w:rsid w:val="00B83A91"/>
    <w:rsid w:val="00B932C5"/>
    <w:rsid w:val="00B94032"/>
    <w:rsid w:val="00BB377E"/>
    <w:rsid w:val="00BC18AD"/>
    <w:rsid w:val="00BD17F1"/>
    <w:rsid w:val="00BE1FA6"/>
    <w:rsid w:val="00BE698D"/>
    <w:rsid w:val="00C053B7"/>
    <w:rsid w:val="00C112A8"/>
    <w:rsid w:val="00C313A5"/>
    <w:rsid w:val="00C330AD"/>
    <w:rsid w:val="00C94BB4"/>
    <w:rsid w:val="00CB4DDA"/>
    <w:rsid w:val="00CD2765"/>
    <w:rsid w:val="00CD2A8C"/>
    <w:rsid w:val="00CD3997"/>
    <w:rsid w:val="00CD4D47"/>
    <w:rsid w:val="00CE5A33"/>
    <w:rsid w:val="00CF41C1"/>
    <w:rsid w:val="00CF5346"/>
    <w:rsid w:val="00D03EE7"/>
    <w:rsid w:val="00D21B58"/>
    <w:rsid w:val="00D30DFC"/>
    <w:rsid w:val="00D324FA"/>
    <w:rsid w:val="00D54B22"/>
    <w:rsid w:val="00D556D2"/>
    <w:rsid w:val="00D572A5"/>
    <w:rsid w:val="00D67D66"/>
    <w:rsid w:val="00D76879"/>
    <w:rsid w:val="00D95EFA"/>
    <w:rsid w:val="00D97CF8"/>
    <w:rsid w:val="00E11164"/>
    <w:rsid w:val="00E27D2F"/>
    <w:rsid w:val="00E33648"/>
    <w:rsid w:val="00E56357"/>
    <w:rsid w:val="00E83628"/>
    <w:rsid w:val="00EA1BF3"/>
    <w:rsid w:val="00EA449F"/>
    <w:rsid w:val="00EC6AA2"/>
    <w:rsid w:val="00ED3E25"/>
    <w:rsid w:val="00EE161F"/>
    <w:rsid w:val="00EE5324"/>
    <w:rsid w:val="00EE58E6"/>
    <w:rsid w:val="00EE79C8"/>
    <w:rsid w:val="00F219C6"/>
    <w:rsid w:val="00F25E0B"/>
    <w:rsid w:val="00F3214F"/>
    <w:rsid w:val="00F65BB6"/>
    <w:rsid w:val="00F74905"/>
    <w:rsid w:val="00F857EC"/>
    <w:rsid w:val="00FA7308"/>
    <w:rsid w:val="00FB1C1E"/>
    <w:rsid w:val="00FF7BA3"/>
    <w:rsid w:val="13362407"/>
    <w:rsid w:val="13F70D6D"/>
    <w:rsid w:val="1D6864CF"/>
    <w:rsid w:val="29725A49"/>
    <w:rsid w:val="2CAE62E2"/>
    <w:rsid w:val="2F1A7252"/>
    <w:rsid w:val="2F591493"/>
    <w:rsid w:val="315A7B86"/>
    <w:rsid w:val="33044889"/>
    <w:rsid w:val="33A01A50"/>
    <w:rsid w:val="411A4E7C"/>
    <w:rsid w:val="483F517D"/>
    <w:rsid w:val="526E5E4E"/>
    <w:rsid w:val="53A31C0E"/>
    <w:rsid w:val="54857F99"/>
    <w:rsid w:val="59A8131A"/>
    <w:rsid w:val="5D3D4978"/>
    <w:rsid w:val="5E6E1930"/>
    <w:rsid w:val="5EF45E57"/>
    <w:rsid w:val="629B4249"/>
    <w:rsid w:val="637C69AE"/>
    <w:rsid w:val="67D16D02"/>
    <w:rsid w:val="69161D0F"/>
    <w:rsid w:val="709B0ABC"/>
    <w:rsid w:val="70C90065"/>
    <w:rsid w:val="74F24D67"/>
    <w:rsid w:val="7C042071"/>
    <w:rsid w:val="7C6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Char Char1"/>
    <w:basedOn w:val="1"/>
    <w:autoRedefine/>
    <w:qFormat/>
    <w:uiPriority w:val="99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652</Words>
  <Characters>708</Characters>
  <Lines>0</Lines>
  <Paragraphs>0</Paragraphs>
  <TotalTime>0</TotalTime>
  <ScaleCrop>false</ScaleCrop>
  <LinksUpToDate>false</LinksUpToDate>
  <CharactersWithSpaces>710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2021-10-25T02:53:00Z</dcterms:created>
  <dc:creator>th</dc:creator>
  <cp:lastModifiedBy>zp</cp:lastModifiedBy>
  <cp:lastPrinted>2023-02-07T08:07:00Z</cp:lastPrinted>
  <dcterms:modified xsi:type="dcterms:W3CDTF">2024-02-26T06:32:34Z</dcterms:modified>
  <dc:title>关于太湖县普通国省干线桥梁（新仓大桥）维修加固养护工程公开选取【施工图设计】机构的公告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95B553FDDF1E4564912C143F720F8D37_13</vt:lpwstr>
  </property>
</Properties>
</file>