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spacing w:before="0" w:after="0" w:line="640" w:lineRule="exact"/>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太湖县欧投行项目县级核查验收服务需求及技术要求</w:t>
      </w:r>
    </w:p>
    <w:p>
      <w:pPr>
        <w:spacing w:before="222" w:line="640" w:lineRule="exact"/>
        <w:jc w:val="center"/>
        <w:rPr>
          <w:rFonts w:ascii="仿宋" w:hAnsi="仿宋" w:eastAsia="仿宋" w:cs="仿宋"/>
          <w:b/>
          <w:sz w:val="32"/>
          <w:szCs w:val="32"/>
        </w:rPr>
      </w:pPr>
      <w:r>
        <w:rPr>
          <w:rFonts w:hint="eastAsia" w:ascii="仿宋" w:hAnsi="仿宋" w:eastAsia="仿宋" w:cs="仿宋"/>
          <w:b/>
          <w:sz w:val="32"/>
          <w:szCs w:val="32"/>
        </w:rPr>
        <w:t>本项目采购标的所属行业：</w:t>
      </w:r>
      <w:r>
        <w:rPr>
          <w:rFonts w:hint="eastAsia" w:ascii="仿宋" w:hAnsi="仿宋" w:eastAsia="仿宋" w:cs="仿宋"/>
          <w:b/>
          <w:sz w:val="32"/>
          <w:szCs w:val="32"/>
          <w:u w:val="single"/>
        </w:rPr>
        <w:t>服务业</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rPr>
      </w:pP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为全面客观、公正地评价欧洲投资</w:t>
      </w:r>
      <w:bookmarkStart w:id="0" w:name="_GoBack"/>
      <w:bookmarkEnd w:id="0"/>
      <w:r>
        <w:rPr>
          <w:rFonts w:hint="eastAsia" w:ascii="仿宋" w:hAnsi="仿宋" w:eastAsia="仿宋" w:cs="仿宋"/>
          <w:sz w:val="30"/>
          <w:szCs w:val="30"/>
        </w:rPr>
        <w:t>银行贷款项目建设成效，依据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欧洲投资银行大别山安徽片生物多样性保护与近自然森林经营项目可行性研究报告》、《欧洲投资银行长江经济带珍稀树种保护与发展项目可行性研究报告》、《欧洲投资银行贷款长江经济带珍稀树种保护与发展项目文件资料汇编》和省财政、林业主管部门欧投行项目相关</w:t>
      </w:r>
      <w:r>
        <w:rPr>
          <w:rFonts w:hint="eastAsia" w:ascii="仿宋" w:hAnsi="仿宋" w:eastAsia="仿宋" w:cs="仿宋"/>
          <w:sz w:val="30"/>
          <w:szCs w:val="30"/>
        </w:rPr>
        <w:t>要求，</w:t>
      </w:r>
      <w:r>
        <w:rPr>
          <w:rFonts w:hint="eastAsia" w:ascii="仿宋" w:hAnsi="仿宋" w:eastAsia="仿宋" w:cs="仿宋"/>
          <w:sz w:val="30"/>
          <w:szCs w:val="30"/>
          <w:lang w:val="en-US" w:eastAsia="zh-CN"/>
        </w:rPr>
        <w:t>县林业局将</w:t>
      </w:r>
      <w:r>
        <w:rPr>
          <w:rFonts w:hint="eastAsia" w:ascii="仿宋" w:hAnsi="仿宋" w:eastAsia="仿宋" w:cs="仿宋"/>
          <w:sz w:val="30"/>
          <w:szCs w:val="30"/>
        </w:rPr>
        <w:t>对</w:t>
      </w:r>
      <w:r>
        <w:rPr>
          <w:rFonts w:hint="eastAsia" w:ascii="仿宋" w:hAnsi="仿宋" w:eastAsia="仿宋" w:cs="仿宋"/>
          <w:sz w:val="30"/>
          <w:szCs w:val="30"/>
          <w:lang w:val="en-US" w:eastAsia="zh-CN"/>
        </w:rPr>
        <w:t>各乡镇林业站上报的2021年—2022年度实施的欧投行</w:t>
      </w:r>
      <w:r>
        <w:rPr>
          <w:rFonts w:hint="eastAsia" w:ascii="仿宋" w:hAnsi="仿宋" w:eastAsia="仿宋" w:cs="仿宋"/>
          <w:sz w:val="30"/>
          <w:szCs w:val="30"/>
        </w:rPr>
        <w:t>项目建设成效进行面积、质量等相关内容的</w:t>
      </w:r>
      <w:r>
        <w:rPr>
          <w:rFonts w:hint="eastAsia" w:ascii="仿宋" w:hAnsi="仿宋" w:eastAsia="仿宋" w:cs="仿宋"/>
          <w:sz w:val="30"/>
          <w:szCs w:val="30"/>
          <w:lang w:val="en-US" w:eastAsia="zh-CN"/>
        </w:rPr>
        <w:t>核</w:t>
      </w:r>
      <w:r>
        <w:rPr>
          <w:rFonts w:hint="eastAsia" w:ascii="仿宋" w:hAnsi="仿宋" w:eastAsia="仿宋" w:cs="仿宋"/>
          <w:sz w:val="30"/>
          <w:szCs w:val="30"/>
        </w:rPr>
        <w:t>查与评估。本次</w:t>
      </w:r>
      <w:r>
        <w:rPr>
          <w:rFonts w:hint="eastAsia" w:ascii="仿宋" w:hAnsi="仿宋" w:eastAsia="仿宋" w:cs="仿宋"/>
          <w:sz w:val="30"/>
          <w:szCs w:val="30"/>
          <w:lang w:val="en-US" w:eastAsia="zh-CN"/>
        </w:rPr>
        <w:t>核查验收工作聘请第三方公司开展，</w:t>
      </w:r>
      <w:r>
        <w:rPr>
          <w:rFonts w:hint="eastAsia" w:ascii="仿宋" w:hAnsi="仿宋" w:eastAsia="仿宋" w:cs="仿宋"/>
          <w:sz w:val="30"/>
          <w:szCs w:val="30"/>
        </w:rPr>
        <w:t>以</w:t>
      </w:r>
      <w:r>
        <w:rPr>
          <w:rFonts w:hint="eastAsia" w:ascii="仿宋" w:hAnsi="仿宋" w:eastAsia="仿宋" w:cs="仿宋"/>
          <w:sz w:val="30"/>
          <w:szCs w:val="30"/>
          <w:lang w:val="en-US" w:eastAsia="zh-CN"/>
        </w:rPr>
        <w:t>乡</w:t>
      </w:r>
      <w:r>
        <w:rPr>
          <w:rFonts w:hint="eastAsia" w:ascii="仿宋" w:hAnsi="仿宋" w:eastAsia="仿宋" w:cs="仿宋"/>
          <w:sz w:val="30"/>
          <w:szCs w:val="30"/>
        </w:rPr>
        <w:t>镇为单位，采取分组分项逐小班</w:t>
      </w:r>
      <w:r>
        <w:rPr>
          <w:rFonts w:hint="eastAsia" w:ascii="仿宋" w:hAnsi="仿宋" w:eastAsia="仿宋" w:cs="仿宋"/>
          <w:sz w:val="30"/>
          <w:szCs w:val="30"/>
          <w:lang w:val="en-US" w:eastAsia="zh-CN"/>
        </w:rPr>
        <w:t>方式进行。现就有关事项预备（待确定好时间后再下发正式通知）通知如下：</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一、核查验收目的</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对太湖县2021年--2022年实施的欧洲投资银行贷款项目，包括欧洲投资银行大别山安徽片生物多样性保护与</w:t>
      </w:r>
      <w:r>
        <w:rPr>
          <w:rFonts w:hint="eastAsia" w:ascii="仿宋" w:hAnsi="仿宋" w:eastAsia="仿宋" w:cs="仿宋"/>
          <w:b/>
          <w:bCs/>
          <w:sz w:val="30"/>
          <w:szCs w:val="30"/>
          <w:lang w:val="en-US" w:eastAsia="zh-CN"/>
        </w:rPr>
        <w:t>近自然森林经营项目（以下简称大别山项目）、欧洲投资银行长江经济带珍稀树种保护与发展项目（以下简称长江项目）</w:t>
      </w:r>
      <w:r>
        <w:rPr>
          <w:rFonts w:hint="eastAsia" w:ascii="仿宋" w:hAnsi="仿宋" w:eastAsia="仿宋" w:cs="仿宋"/>
          <w:sz w:val="30"/>
          <w:szCs w:val="30"/>
          <w:lang w:val="en-US" w:eastAsia="zh-CN"/>
        </w:rPr>
        <w:t>建设成效等相关内容进行调查与评估，为欧投行项目资金发放提供依据。</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二、核查验收依据</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1、《欧洲投资银行大别山安徽片生物多样性保护与近自然森林经营项目可行性研究报告》；</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2、《安徽省珍稀树种保护与发展项目可行性研究报告》；</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3、《欧洲投资银行贷款长江经济带珍稀树种保护与发展项目文件资料汇编》；</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4、项目实施中按照要求编制和批准的实施方案、作业设计；</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5、各乡镇项目自查验收成果。</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6、省财政、林业主管部门出台的文件。</w:t>
      </w:r>
    </w:p>
    <w:p>
      <w:pPr>
        <w:pageBreakBefore w:val="0"/>
        <w:widowControl w:val="0"/>
        <w:kinsoku/>
        <w:wordWrap/>
        <w:overflowPunct/>
        <w:topLinePunct w:val="0"/>
        <w:autoSpaceDE/>
        <w:autoSpaceDN/>
        <w:bidi w:val="0"/>
        <w:adjustRightInd/>
        <w:snapToGrid w:val="0"/>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三、核查验收内容</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核查验收内容主要有3项：</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2022年度大别山项目，涉及14个乡镇，233个小班，面积1575.32公顷。其中：新造林56个小班，面积340.73公顷；现有林改培39个小班，面积161.70公顷；森林修复及更新29个小班，面积239.03公顷；森林抚育109个小班，面积161.70公顷。</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2、2021年度长江项目，涉及14个乡镇，159个小班，面积1360.62公顷。其中：新造林105个小班，面积1013.83公顷；现有林培育54个小班，面积346.79公顷。</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3、2022年度长江项目，涉及12个乡镇，238个小班，面积2635.87公顷。其中：新造林196个小班，面积2212.77公顷；现有林培育42个小班，面积423.1公顷。</w:t>
      </w:r>
    </w:p>
    <w:p>
      <w:pPr>
        <w:pageBreakBefore w:val="0"/>
        <w:widowControl w:val="0"/>
        <w:kinsoku/>
        <w:wordWrap/>
        <w:overflowPunct/>
        <w:topLinePunct w:val="0"/>
        <w:autoSpaceDE/>
        <w:autoSpaceDN/>
        <w:bidi w:val="0"/>
        <w:adjustRightInd/>
        <w:snapToGrid w:val="0"/>
        <w:spacing w:line="6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四、核查验收技术方案</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1、2022年度大别山项目</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（1）新造林中其他造林9（油茶造林）</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一是苗木：优质油茶嫁接苗；</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二是</w:t>
      </w:r>
      <w:r>
        <w:rPr>
          <w:rFonts w:hint="default" w:ascii="仿宋" w:hAnsi="仿宋" w:eastAsia="仿宋" w:cs="仿宋"/>
          <w:sz w:val="30"/>
          <w:szCs w:val="30"/>
          <w:lang w:val="en-US" w:eastAsia="zh-CN"/>
        </w:rPr>
        <w:t>造林树种与作业设计一致，</w:t>
      </w:r>
      <w:r>
        <w:rPr>
          <w:rFonts w:hint="eastAsia" w:ascii="仿宋" w:hAnsi="仿宋" w:eastAsia="仿宋" w:cs="仿宋"/>
          <w:sz w:val="30"/>
          <w:szCs w:val="30"/>
          <w:lang w:val="en-US" w:eastAsia="zh-CN"/>
        </w:rPr>
        <w:t>（密度1665株/公顷）</w:t>
      </w:r>
      <w:r>
        <w:rPr>
          <w:rFonts w:hint="default" w:ascii="仿宋" w:hAnsi="仿宋" w:eastAsia="仿宋" w:cs="仿宋"/>
          <w:sz w:val="30"/>
          <w:szCs w:val="30"/>
          <w:lang w:val="en-US" w:eastAsia="zh-CN"/>
        </w:rPr>
        <w:t>成活率85%以上</w:t>
      </w:r>
      <w:r>
        <w:rPr>
          <w:rFonts w:hint="eastAsia" w:ascii="仿宋" w:hAnsi="仿宋" w:eastAsia="仿宋" w:cs="仿宋"/>
          <w:sz w:val="30"/>
          <w:szCs w:val="30"/>
          <w:lang w:val="en-US" w:eastAsia="zh-CN"/>
        </w:rPr>
        <w:t>；</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三是小班保存率80%以上；小班保存合格标准以株数保存率确定，当合理株数保存率≥80%时，即认定为合格。</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四是施肥、水保等符合作业设计，抚育连续3年，每年2次（5-6月，8-9月），杂灌不高于5公分，杂草贴地面。</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（2）现有林改培</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①</w:t>
      </w:r>
      <w:r>
        <w:rPr>
          <w:rFonts w:hint="eastAsia" w:ascii="仿宋" w:hAnsi="仿宋" w:eastAsia="仿宋" w:cs="仿宋"/>
          <w:sz w:val="30"/>
          <w:szCs w:val="30"/>
          <w:lang w:val="en-US" w:eastAsia="zh-CN"/>
        </w:rPr>
        <w:t>低产低效林改造</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一是苗木：2年生优质嫁接苗；</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二是补植（混交）</w:t>
      </w:r>
      <w:r>
        <w:rPr>
          <w:rFonts w:hint="default" w:ascii="仿宋" w:hAnsi="仿宋" w:eastAsia="仿宋" w:cs="仿宋"/>
          <w:sz w:val="30"/>
          <w:szCs w:val="30"/>
          <w:lang w:val="en-US" w:eastAsia="zh-CN"/>
        </w:rPr>
        <w:t>树种与作业设计一致，</w:t>
      </w:r>
      <w:r>
        <w:rPr>
          <w:rFonts w:hint="eastAsia" w:ascii="仿宋" w:hAnsi="仿宋" w:eastAsia="仿宋" w:cs="仿宋"/>
          <w:sz w:val="30"/>
          <w:szCs w:val="30"/>
          <w:lang w:val="en-US" w:eastAsia="zh-CN"/>
        </w:rPr>
        <w:t>（油茶密度625株/公顷，马褂木等125株/公顷）成活率85%以上；</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三是小班保存率80%以上；小班保存合格标准以株数保存率确定，当合理株数保存率≥80%时，即认定为合格。</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四是施肥、水保等符合作业设计，抚育连续3年，每年2次（5-6月，8-9月），杂灌不高于5公分，杂草贴地面。</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②</w:t>
      </w:r>
      <w:r>
        <w:rPr>
          <w:rFonts w:hint="eastAsia" w:ascii="仿宋" w:hAnsi="仿宋" w:eastAsia="仿宋" w:cs="仿宋"/>
          <w:sz w:val="30"/>
          <w:szCs w:val="30"/>
          <w:lang w:val="en-US" w:eastAsia="zh-CN"/>
        </w:rPr>
        <w:t>林相改造</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一是</w:t>
      </w:r>
      <w:r>
        <w:rPr>
          <w:rFonts w:hint="eastAsia" w:ascii="仿宋" w:hAnsi="仿宋" w:eastAsia="仿宋" w:cs="仿宋"/>
          <w:sz w:val="30"/>
          <w:szCs w:val="30"/>
          <w:lang w:val="en-US" w:eastAsia="zh-CN"/>
        </w:rPr>
        <w:t>已清理</w:t>
      </w:r>
      <w:r>
        <w:rPr>
          <w:rFonts w:hint="default" w:ascii="仿宋" w:hAnsi="仿宋" w:eastAsia="仿宋" w:cs="仿宋"/>
          <w:sz w:val="30"/>
          <w:szCs w:val="30"/>
          <w:lang w:val="en-US" w:eastAsia="zh-CN"/>
        </w:rPr>
        <w:t>林分内长势较差或感染病虫害严重的林木</w:t>
      </w:r>
      <w:r>
        <w:rPr>
          <w:rFonts w:hint="eastAsia" w:ascii="仿宋" w:hAnsi="仿宋" w:eastAsia="仿宋" w:cs="仿宋"/>
          <w:sz w:val="30"/>
          <w:szCs w:val="30"/>
          <w:lang w:val="en-US" w:eastAsia="zh-CN"/>
        </w:rPr>
        <w:t>；</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二是苗木为优质壮苗，</w:t>
      </w:r>
      <w:r>
        <w:rPr>
          <w:rFonts w:hint="default" w:ascii="仿宋" w:hAnsi="仿宋" w:eastAsia="仿宋" w:cs="仿宋"/>
          <w:sz w:val="30"/>
          <w:szCs w:val="30"/>
          <w:lang w:val="en-US" w:eastAsia="zh-CN"/>
        </w:rPr>
        <w:t>补植</w:t>
      </w:r>
      <w:r>
        <w:rPr>
          <w:rFonts w:hint="eastAsia" w:ascii="仿宋" w:hAnsi="仿宋" w:eastAsia="仿宋" w:cs="仿宋"/>
          <w:sz w:val="30"/>
          <w:szCs w:val="30"/>
          <w:lang w:val="en-US" w:eastAsia="zh-CN"/>
        </w:rPr>
        <w:t>（枫香、檫木等）</w:t>
      </w:r>
      <w:r>
        <w:rPr>
          <w:rFonts w:hint="default" w:ascii="仿宋" w:hAnsi="仿宋" w:eastAsia="仿宋" w:cs="仿宋"/>
          <w:sz w:val="30"/>
          <w:szCs w:val="30"/>
          <w:lang w:val="en-US" w:eastAsia="zh-CN"/>
        </w:rPr>
        <w:t>树种与作业设计一致，成活率85%以上</w:t>
      </w:r>
      <w:r>
        <w:rPr>
          <w:rFonts w:hint="eastAsia" w:ascii="仿宋" w:hAnsi="仿宋" w:eastAsia="仿宋" w:cs="仿宋"/>
          <w:sz w:val="30"/>
          <w:szCs w:val="30"/>
          <w:lang w:val="en-US" w:eastAsia="zh-CN"/>
        </w:rPr>
        <w:t>，且目标树每亩不低于30株</w:t>
      </w:r>
      <w:r>
        <w:rPr>
          <w:rFonts w:hint="default" w:ascii="仿宋" w:hAnsi="仿宋" w:eastAsia="仿宋" w:cs="仿宋"/>
          <w:sz w:val="30"/>
          <w:szCs w:val="30"/>
          <w:lang w:val="en-US" w:eastAsia="zh-CN"/>
        </w:rPr>
        <w:t>；</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三是小班保存率80%以上；小班保存合格标准以株数保存率确定，当合理株数保存率≥80%时，即认定为合格。</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四是抚育连续3年，每年2次（5-6月，8-9月）</w:t>
      </w:r>
      <w:r>
        <w:rPr>
          <w:rFonts w:hint="eastAsia" w:ascii="仿宋" w:hAnsi="仿宋" w:eastAsia="仿宋" w:cs="仿宋"/>
          <w:sz w:val="30"/>
          <w:szCs w:val="30"/>
          <w:lang w:val="en-US" w:eastAsia="zh-CN"/>
        </w:rPr>
        <w:t>，杂灌不高于5公分，杂草贴地面</w:t>
      </w:r>
      <w:r>
        <w:rPr>
          <w:rFonts w:hint="default" w:ascii="仿宋" w:hAnsi="仿宋" w:eastAsia="仿宋" w:cs="仿宋"/>
          <w:sz w:val="30"/>
          <w:szCs w:val="30"/>
          <w:lang w:val="en-US" w:eastAsia="zh-CN"/>
        </w:rPr>
        <w:t>。</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（3）森林修复及更新</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核查森林修复对象选择是否是生态效益较差或一般、且现有林木分布不均、林中空地及林窗较多的人工林。修复方法是否通过补植枫香、栎类、檫木等不同阔叶树种，营造混交林，提高森林质量。</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①密度要求：无固定株行距，每公顷补植数量大约为200株。</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②林地清理与整地挖穴：对适宜补植的林间空地进行块状清理，一般1～2米见方，清除灌木杂草。穴状整地，枫香和檫木的栽植穴规格为50厘米×50厘米×40厘米，栎类的栽植穴规格为40厘米×40厘米×40厘米。</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③苗木：选择标准为1年生I级裸根苗。</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（4）森林抚育</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核查经济林油茶抚育是否进行了1次松土、除草，松土深度20厘米左右，铲除的杂草堆放在树根周围，施有机肥，进行整形修剪、高接换头。</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核查竹林抚育是否清除杂草灌木，同时砍除细弱、畸形和病虫害严重危害的竹子，以及风倒、雪压、断梢的竹子，5年生以上老竹是否全部砍除，垦复深度是否达到20cm以上，同时结合垦复进行施肥，以有机肥为主。</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2、2021年度与2022年度长江项目</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default" w:ascii="仿宋" w:hAnsi="仿宋" w:eastAsia="仿宋" w:cs="仿宋"/>
          <w:sz w:val="30"/>
          <w:szCs w:val="30"/>
          <w:lang w:val="en-US" w:eastAsia="zh-CN"/>
        </w:rPr>
        <w:t>新造林</w:t>
      </w:r>
      <w:r>
        <w:rPr>
          <w:rFonts w:hint="eastAsia" w:ascii="仿宋" w:hAnsi="仿宋" w:eastAsia="仿宋" w:cs="仿宋"/>
          <w:sz w:val="30"/>
          <w:szCs w:val="30"/>
          <w:lang w:val="en-US" w:eastAsia="zh-CN"/>
        </w:rPr>
        <w:t>XZ1、XZ3</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一是苗木：</w:t>
      </w:r>
      <w:r>
        <w:rPr>
          <w:rFonts w:hint="eastAsia" w:ascii="仿宋" w:hAnsi="仿宋" w:eastAsia="仿宋" w:cs="仿宋"/>
          <w:sz w:val="30"/>
          <w:szCs w:val="30"/>
          <w:lang w:val="en-US" w:eastAsia="zh-CN"/>
        </w:rPr>
        <w:t>1</w:t>
      </w:r>
      <w:r>
        <w:rPr>
          <w:rFonts w:hint="default" w:ascii="仿宋" w:hAnsi="仿宋" w:eastAsia="仿宋" w:cs="仿宋"/>
          <w:sz w:val="30"/>
          <w:szCs w:val="30"/>
          <w:lang w:val="en-US" w:eastAsia="zh-CN"/>
        </w:rPr>
        <w:t>年生优质</w:t>
      </w:r>
      <w:r>
        <w:rPr>
          <w:rFonts w:hint="eastAsia" w:ascii="仿宋" w:hAnsi="仿宋" w:eastAsia="仿宋" w:cs="仿宋"/>
          <w:sz w:val="30"/>
          <w:szCs w:val="30"/>
          <w:lang w:val="en-US" w:eastAsia="zh-CN"/>
        </w:rPr>
        <w:t>壮</w:t>
      </w:r>
      <w:r>
        <w:rPr>
          <w:rFonts w:hint="default" w:ascii="仿宋" w:hAnsi="仿宋" w:eastAsia="仿宋" w:cs="仿宋"/>
          <w:sz w:val="30"/>
          <w:szCs w:val="30"/>
          <w:lang w:val="en-US" w:eastAsia="zh-CN"/>
        </w:rPr>
        <w:t>苗；</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二是造林树种与作业设计一致，（</w:t>
      </w:r>
      <w:r>
        <w:rPr>
          <w:rFonts w:hint="eastAsia" w:ascii="仿宋" w:hAnsi="仿宋" w:eastAsia="仿宋" w:cs="仿宋"/>
          <w:sz w:val="30"/>
          <w:szCs w:val="30"/>
          <w:lang w:val="en-US" w:eastAsia="zh-CN"/>
        </w:rPr>
        <w:t>XZ1</w:t>
      </w:r>
      <w:r>
        <w:rPr>
          <w:rFonts w:hint="default" w:ascii="仿宋" w:hAnsi="仿宋" w:eastAsia="仿宋" w:cs="仿宋"/>
          <w:sz w:val="30"/>
          <w:szCs w:val="30"/>
          <w:lang w:val="en-US" w:eastAsia="zh-CN"/>
        </w:rPr>
        <w:t>密度</w:t>
      </w:r>
      <w:r>
        <w:rPr>
          <w:rFonts w:hint="eastAsia" w:ascii="仿宋" w:hAnsi="仿宋" w:eastAsia="仿宋" w:cs="仿宋"/>
          <w:sz w:val="30"/>
          <w:szCs w:val="30"/>
          <w:lang w:val="en-US" w:eastAsia="zh-CN"/>
        </w:rPr>
        <w:t>1000--</w:t>
      </w:r>
      <w:r>
        <w:rPr>
          <w:rFonts w:hint="default" w:ascii="仿宋" w:hAnsi="仿宋" w:eastAsia="仿宋" w:cs="仿宋"/>
          <w:sz w:val="30"/>
          <w:szCs w:val="30"/>
          <w:lang w:val="en-US" w:eastAsia="zh-CN"/>
        </w:rPr>
        <w:t>1665株/公顷</w:t>
      </w:r>
      <w:r>
        <w:rPr>
          <w:rFonts w:hint="eastAsia" w:ascii="仿宋" w:hAnsi="仿宋" w:eastAsia="仿宋" w:cs="仿宋"/>
          <w:sz w:val="30"/>
          <w:szCs w:val="30"/>
          <w:lang w:val="en-US" w:eastAsia="zh-CN"/>
        </w:rPr>
        <w:t>，XZ3</w:t>
      </w:r>
      <w:r>
        <w:rPr>
          <w:rFonts w:hint="default" w:ascii="仿宋" w:hAnsi="仿宋" w:eastAsia="仿宋" w:cs="仿宋"/>
          <w:sz w:val="30"/>
          <w:szCs w:val="30"/>
          <w:lang w:val="en-US" w:eastAsia="zh-CN"/>
        </w:rPr>
        <w:t>密度</w:t>
      </w:r>
      <w:r>
        <w:rPr>
          <w:rFonts w:hint="eastAsia" w:ascii="仿宋" w:hAnsi="仿宋" w:eastAsia="仿宋" w:cs="仿宋"/>
          <w:sz w:val="30"/>
          <w:szCs w:val="30"/>
          <w:lang w:val="en-US" w:eastAsia="zh-CN"/>
        </w:rPr>
        <w:t>300--</w:t>
      </w:r>
      <w:r>
        <w:rPr>
          <w:rFonts w:hint="default" w:ascii="仿宋" w:hAnsi="仿宋" w:eastAsia="仿宋" w:cs="仿宋"/>
          <w:sz w:val="30"/>
          <w:szCs w:val="30"/>
          <w:lang w:val="en-US" w:eastAsia="zh-CN"/>
        </w:rPr>
        <w:t>1665株/公顷）成活率85%以上；</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三是主栽树种面积不超过小班70%，单一树种连片面积2公顷；</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四</w:t>
      </w:r>
      <w:r>
        <w:rPr>
          <w:rFonts w:hint="default" w:ascii="仿宋" w:hAnsi="仿宋" w:eastAsia="仿宋" w:cs="仿宋"/>
          <w:sz w:val="30"/>
          <w:szCs w:val="30"/>
          <w:lang w:val="en-US" w:eastAsia="zh-CN"/>
        </w:rPr>
        <w:t>是小班保存率80%以上；小班保存合格标准以株数保存率确定，当合理株数保存率≥80%时，即认定为合格。</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五</w:t>
      </w:r>
      <w:r>
        <w:rPr>
          <w:rFonts w:hint="default" w:ascii="仿宋" w:hAnsi="仿宋" w:eastAsia="仿宋" w:cs="仿宋"/>
          <w:sz w:val="30"/>
          <w:szCs w:val="30"/>
          <w:lang w:val="en-US" w:eastAsia="zh-CN"/>
        </w:rPr>
        <w:t>是施肥、水保等</w:t>
      </w:r>
      <w:r>
        <w:rPr>
          <w:rFonts w:hint="eastAsia" w:ascii="仿宋" w:hAnsi="仿宋" w:eastAsia="仿宋" w:cs="仿宋"/>
          <w:sz w:val="30"/>
          <w:szCs w:val="30"/>
          <w:lang w:val="en-US" w:eastAsia="zh-CN"/>
        </w:rPr>
        <w:t>符合作业设计</w:t>
      </w:r>
      <w:r>
        <w:rPr>
          <w:rFonts w:hint="default" w:ascii="仿宋" w:hAnsi="仿宋" w:eastAsia="仿宋" w:cs="仿宋"/>
          <w:sz w:val="30"/>
          <w:szCs w:val="30"/>
          <w:lang w:val="en-US" w:eastAsia="zh-CN"/>
        </w:rPr>
        <w:t>，抚育连续3年，</w:t>
      </w:r>
      <w:r>
        <w:rPr>
          <w:rFonts w:hint="eastAsia" w:ascii="仿宋" w:hAnsi="仿宋" w:eastAsia="仿宋" w:cs="仿宋"/>
          <w:sz w:val="30"/>
          <w:szCs w:val="30"/>
          <w:lang w:val="en-US" w:eastAsia="zh-CN"/>
        </w:rPr>
        <w:t>抚育方式1-2-1，杂灌不高于5公分，杂草贴地面</w:t>
      </w:r>
      <w:r>
        <w:rPr>
          <w:rFonts w:hint="default" w:ascii="仿宋" w:hAnsi="仿宋" w:eastAsia="仿宋" w:cs="仿宋"/>
          <w:sz w:val="30"/>
          <w:szCs w:val="30"/>
          <w:lang w:val="en-US" w:eastAsia="zh-CN"/>
        </w:rPr>
        <w:t>。</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（2）现有林培育PY1、PY2、PY3、PY4、PY5、PY6、PY7</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一是苗木：</w:t>
      </w:r>
      <w:r>
        <w:rPr>
          <w:rFonts w:hint="eastAsia" w:ascii="仿宋" w:hAnsi="仿宋" w:eastAsia="仿宋" w:cs="仿宋"/>
          <w:sz w:val="30"/>
          <w:szCs w:val="30"/>
          <w:lang w:val="en-US" w:eastAsia="zh-CN"/>
        </w:rPr>
        <w:t>2</w:t>
      </w:r>
      <w:r>
        <w:rPr>
          <w:rFonts w:hint="default" w:ascii="仿宋" w:hAnsi="仿宋" w:eastAsia="仿宋" w:cs="仿宋"/>
          <w:sz w:val="30"/>
          <w:szCs w:val="30"/>
          <w:lang w:val="en-US" w:eastAsia="zh-CN"/>
        </w:rPr>
        <w:t>年生</w:t>
      </w:r>
      <w:r>
        <w:rPr>
          <w:rFonts w:hint="eastAsia" w:ascii="仿宋" w:hAnsi="仿宋" w:eastAsia="仿宋" w:cs="仿宋"/>
          <w:sz w:val="30"/>
          <w:szCs w:val="30"/>
          <w:lang w:val="en-US" w:eastAsia="zh-CN"/>
        </w:rPr>
        <w:t>及以上</w:t>
      </w:r>
      <w:r>
        <w:rPr>
          <w:rFonts w:hint="default" w:ascii="仿宋" w:hAnsi="仿宋" w:eastAsia="仿宋" w:cs="仿宋"/>
          <w:sz w:val="30"/>
          <w:szCs w:val="30"/>
          <w:lang w:val="en-US" w:eastAsia="zh-CN"/>
        </w:rPr>
        <w:t>优质</w:t>
      </w:r>
      <w:r>
        <w:rPr>
          <w:rFonts w:hint="eastAsia" w:ascii="仿宋" w:hAnsi="仿宋" w:eastAsia="仿宋" w:cs="仿宋"/>
          <w:sz w:val="30"/>
          <w:szCs w:val="30"/>
          <w:lang w:val="en-US" w:eastAsia="zh-CN"/>
        </w:rPr>
        <w:t>壮</w:t>
      </w:r>
      <w:r>
        <w:rPr>
          <w:rFonts w:hint="default" w:ascii="仿宋" w:hAnsi="仿宋" w:eastAsia="仿宋" w:cs="仿宋"/>
          <w:sz w:val="30"/>
          <w:szCs w:val="30"/>
          <w:lang w:val="en-US" w:eastAsia="zh-CN"/>
        </w:rPr>
        <w:t>苗；</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二是</w:t>
      </w:r>
      <w:r>
        <w:rPr>
          <w:rFonts w:hint="eastAsia" w:ascii="仿宋" w:hAnsi="仿宋" w:eastAsia="仿宋" w:cs="仿宋"/>
          <w:sz w:val="30"/>
          <w:szCs w:val="30"/>
          <w:lang w:val="en-US" w:eastAsia="zh-CN"/>
        </w:rPr>
        <w:t>补植</w:t>
      </w:r>
      <w:r>
        <w:rPr>
          <w:rFonts w:hint="default" w:ascii="仿宋" w:hAnsi="仿宋" w:eastAsia="仿宋" w:cs="仿宋"/>
          <w:sz w:val="30"/>
          <w:szCs w:val="30"/>
          <w:lang w:val="en-US" w:eastAsia="zh-CN"/>
        </w:rPr>
        <w:t>树种与作业设计一致，</w:t>
      </w:r>
      <w:r>
        <w:rPr>
          <w:rFonts w:hint="eastAsia" w:ascii="仿宋" w:hAnsi="仿宋" w:eastAsia="仿宋" w:cs="仿宋"/>
          <w:sz w:val="30"/>
          <w:szCs w:val="30"/>
          <w:lang w:val="en-US" w:eastAsia="zh-CN"/>
        </w:rPr>
        <w:t>密度每公顷</w:t>
      </w:r>
      <w:r>
        <w:rPr>
          <w:rFonts w:hint="default" w:ascii="仿宋" w:hAnsi="仿宋" w:eastAsia="仿宋" w:cs="仿宋"/>
          <w:sz w:val="30"/>
          <w:szCs w:val="30"/>
          <w:lang w:val="en-US" w:eastAsia="zh-CN"/>
        </w:rPr>
        <w:t>（PY1</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PY2</w:t>
      </w:r>
      <w:r>
        <w:rPr>
          <w:rFonts w:hint="eastAsia" w:ascii="仿宋" w:hAnsi="仿宋" w:eastAsia="仿宋" w:cs="仿宋"/>
          <w:sz w:val="30"/>
          <w:szCs w:val="30"/>
          <w:lang w:val="en-US" w:eastAsia="zh-CN"/>
        </w:rPr>
        <w:t>为45</w:t>
      </w:r>
      <w:r>
        <w:rPr>
          <w:rFonts w:hint="default" w:ascii="仿宋" w:hAnsi="仿宋" w:eastAsia="仿宋" w:cs="仿宋"/>
          <w:sz w:val="30"/>
          <w:szCs w:val="30"/>
          <w:lang w:val="en-US" w:eastAsia="zh-CN"/>
        </w:rPr>
        <w:t>0--</w:t>
      </w:r>
      <w:r>
        <w:rPr>
          <w:rFonts w:hint="eastAsia" w:ascii="仿宋" w:hAnsi="仿宋" w:eastAsia="仿宋" w:cs="仿宋"/>
          <w:sz w:val="30"/>
          <w:szCs w:val="30"/>
          <w:lang w:val="en-US" w:eastAsia="zh-CN"/>
        </w:rPr>
        <w:t>600</w:t>
      </w:r>
      <w:r>
        <w:rPr>
          <w:rFonts w:hint="default" w:ascii="仿宋" w:hAnsi="仿宋" w:eastAsia="仿宋" w:cs="仿宋"/>
          <w:sz w:val="30"/>
          <w:szCs w:val="30"/>
          <w:lang w:val="en-US" w:eastAsia="zh-CN"/>
        </w:rPr>
        <w:t>株，PY3、PY4、PY5、PY6</w:t>
      </w:r>
      <w:r>
        <w:rPr>
          <w:rFonts w:hint="eastAsia" w:ascii="仿宋" w:hAnsi="仿宋" w:eastAsia="仿宋" w:cs="仿宋"/>
          <w:sz w:val="30"/>
          <w:szCs w:val="30"/>
          <w:lang w:val="en-US" w:eastAsia="zh-CN"/>
        </w:rPr>
        <w:t>为60</w:t>
      </w:r>
      <w:r>
        <w:rPr>
          <w:rFonts w:hint="default" w:ascii="仿宋" w:hAnsi="仿宋" w:eastAsia="仿宋" w:cs="仿宋"/>
          <w:sz w:val="30"/>
          <w:szCs w:val="30"/>
          <w:lang w:val="en-US" w:eastAsia="zh-CN"/>
        </w:rPr>
        <w:t>0--</w:t>
      </w:r>
      <w:r>
        <w:rPr>
          <w:rFonts w:hint="eastAsia" w:ascii="仿宋" w:hAnsi="仿宋" w:eastAsia="仿宋" w:cs="仿宋"/>
          <w:sz w:val="30"/>
          <w:szCs w:val="30"/>
          <w:lang w:val="en-US" w:eastAsia="zh-CN"/>
        </w:rPr>
        <w:t>900</w:t>
      </w:r>
      <w:r>
        <w:rPr>
          <w:rFonts w:hint="default" w:ascii="仿宋" w:hAnsi="仿宋" w:eastAsia="仿宋" w:cs="仿宋"/>
          <w:sz w:val="30"/>
          <w:szCs w:val="30"/>
          <w:lang w:val="en-US" w:eastAsia="zh-CN"/>
        </w:rPr>
        <w:t>株，PY7</w:t>
      </w:r>
      <w:r>
        <w:rPr>
          <w:rFonts w:hint="eastAsia" w:ascii="仿宋" w:hAnsi="仿宋" w:eastAsia="仿宋" w:cs="仿宋"/>
          <w:sz w:val="30"/>
          <w:szCs w:val="30"/>
          <w:lang w:val="en-US" w:eastAsia="zh-CN"/>
        </w:rPr>
        <w:t>为</w:t>
      </w:r>
      <w:r>
        <w:rPr>
          <w:rFonts w:hint="default" w:ascii="仿宋" w:hAnsi="仿宋" w:eastAsia="仿宋" w:cs="仿宋"/>
          <w:sz w:val="30"/>
          <w:szCs w:val="30"/>
          <w:lang w:val="en-US" w:eastAsia="zh-CN"/>
        </w:rPr>
        <w:t>0--</w:t>
      </w:r>
      <w:r>
        <w:rPr>
          <w:rFonts w:hint="eastAsia" w:ascii="仿宋" w:hAnsi="仿宋" w:eastAsia="仿宋" w:cs="仿宋"/>
          <w:sz w:val="30"/>
          <w:szCs w:val="30"/>
          <w:lang w:val="en-US" w:eastAsia="zh-CN"/>
        </w:rPr>
        <w:t>750</w:t>
      </w:r>
      <w:r>
        <w:rPr>
          <w:rFonts w:hint="default" w:ascii="仿宋" w:hAnsi="仿宋" w:eastAsia="仿宋" w:cs="仿宋"/>
          <w:sz w:val="30"/>
          <w:szCs w:val="30"/>
          <w:lang w:val="en-US" w:eastAsia="zh-CN"/>
        </w:rPr>
        <w:t>株；</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三是补植成活率85%以上</w:t>
      </w:r>
      <w:r>
        <w:rPr>
          <w:rFonts w:hint="eastAsia" w:ascii="仿宋" w:hAnsi="仿宋" w:eastAsia="仿宋" w:cs="仿宋"/>
          <w:sz w:val="30"/>
          <w:szCs w:val="30"/>
          <w:lang w:val="en-US" w:eastAsia="zh-CN"/>
        </w:rPr>
        <w:t>，且目标树每亩不低于30株</w:t>
      </w:r>
      <w:r>
        <w:rPr>
          <w:rFonts w:hint="default" w:ascii="仿宋" w:hAnsi="仿宋" w:eastAsia="仿宋" w:cs="仿宋"/>
          <w:sz w:val="30"/>
          <w:szCs w:val="30"/>
          <w:lang w:val="en-US" w:eastAsia="zh-CN"/>
        </w:rPr>
        <w:t>；</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四是小班保存率80%以上；小班保存合格标准以株数保存率确定，当合理株数保存率≥80%时，即认定为合格。</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五是施肥、水保等符合作业设计，抚育</w:t>
      </w:r>
      <w:r>
        <w:rPr>
          <w:rFonts w:hint="eastAsia" w:ascii="仿宋" w:hAnsi="仿宋" w:eastAsia="仿宋" w:cs="仿宋"/>
          <w:sz w:val="30"/>
          <w:szCs w:val="30"/>
          <w:lang w:val="en-US" w:eastAsia="zh-CN"/>
        </w:rPr>
        <w:t>（刀抚）</w:t>
      </w:r>
      <w:r>
        <w:rPr>
          <w:rFonts w:hint="default" w:ascii="仿宋" w:hAnsi="仿宋" w:eastAsia="仿宋" w:cs="仿宋"/>
          <w:sz w:val="30"/>
          <w:szCs w:val="30"/>
          <w:lang w:val="en-US" w:eastAsia="zh-CN"/>
        </w:rPr>
        <w:t>杂灌不高于5公分，杂草贴地面</w:t>
      </w:r>
      <w:r>
        <w:rPr>
          <w:rFonts w:hint="eastAsia" w:ascii="仿宋" w:hAnsi="仿宋" w:eastAsia="仿宋" w:cs="仿宋"/>
          <w:sz w:val="30"/>
          <w:szCs w:val="30"/>
          <w:lang w:val="en-US" w:eastAsia="zh-CN"/>
        </w:rPr>
        <w:t>；除草松土时，清除幼树幼苗周边0.5米范围内的所有灌木、藤蔓和草本植物，为幼树幼苗提供良好的生长空间，砍除的杂灌就地覆盖在林地上，让其自然腐烂分解，以使其养分回归土壤。</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六是</w:t>
      </w:r>
      <w:r>
        <w:rPr>
          <w:rFonts w:hint="default" w:ascii="仿宋" w:hAnsi="仿宋" w:eastAsia="仿宋" w:cs="仿宋"/>
          <w:sz w:val="30"/>
          <w:szCs w:val="30"/>
          <w:lang w:val="en-US" w:eastAsia="zh-CN"/>
        </w:rPr>
        <w:t>施工必须按照作业设计、实施方案的内容和要求进行施工。凡符合上述标准要求的</w:t>
      </w:r>
      <w:r>
        <w:rPr>
          <w:rFonts w:hint="eastAsia" w:ascii="仿宋" w:hAnsi="仿宋" w:eastAsia="仿宋" w:cs="仿宋"/>
          <w:sz w:val="30"/>
          <w:szCs w:val="30"/>
          <w:lang w:val="en-US" w:eastAsia="zh-CN"/>
        </w:rPr>
        <w:t>且位置、范围与作业设计一致</w:t>
      </w:r>
      <w:r>
        <w:rPr>
          <w:rFonts w:hint="default" w:ascii="仿宋" w:hAnsi="仿宋" w:eastAsia="仿宋" w:cs="仿宋"/>
          <w:sz w:val="30"/>
          <w:szCs w:val="30"/>
          <w:lang w:val="en-US" w:eastAsia="zh-CN"/>
        </w:rPr>
        <w:t>为合格面积，否则为不合格面积。</w:t>
      </w:r>
    </w:p>
    <w:p>
      <w:pPr>
        <w:pageBreakBefore w:val="0"/>
        <w:widowControl w:val="0"/>
        <w:kinsoku/>
        <w:wordWrap/>
        <w:overflowPunct/>
        <w:topLinePunct w:val="0"/>
        <w:autoSpaceDE/>
        <w:autoSpaceDN/>
        <w:bidi w:val="0"/>
        <w:adjustRightInd/>
        <w:snapToGrid w:val="0"/>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五、核查验收方法</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以乡镇为单位，在各乡镇自查验收上报的基础上，采用小班调查法进行全查。</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1、作业小班面积核查验收</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实地核实小班（地块）范围，重新求算面积（以公顷为单位，保留2位小数）。当核实合格面积与上报面积误差在±5％以内或核实合格面积大于上报面积5%以上时，认可上报面积；当核实合格面积小于上报面积5%以上时，认定为不合格面积小班。小班（地块）面积在15亩以下，采用实测求算面积，并设置1个GPS控制点；小班（地块）面积在15亩以上，采用GPS控制点与地形图调绘相结合的方法求算面积。</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在小班核查验收中应注意以下几点事项：①同一年度作业类别相重时，应按作业设计确定类别，其它类别核查验收面积作零处理。②带状造林：林带面积按下列公式计算：</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林带面积＝［（林带行数-1）×行距＋4米］×林带长</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2、造林小班成活率核查验收</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采用样行或样地调查法调查成活率。</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样行或样地调查的面积比例：当小班（地块）面积在100亩以下时，样行或样地面积应占小班（地块）面积5％；100—450亩应占3％；450亩以上不少于2％。</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样行或样地根据小班苗木定植情况，均匀布设在有代表的地段，样行数按小班应调查的样行面积确定，每个小班不少于3行。样地设置为带状样地，带宽5米，机械布设，样地数按小班应调查的样地面积确定，每个小班不少于3条。对林带样地，应设置样段进行调查，样段长20米，样段数按小班应调查的样地面积确定，每个小班不少于3个样段。在样行或样地内计数总的人工造林（补植）株数（包括死苗、缺苗）以及成活株数。按穴造林中当每穴造林株数或成活株数多于一株时均按一株计算。核查验收前一个月内及核查验收工作开展后补植的苗木不计入成活株数。</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档案审核：一是作业设计须有文字及图、表（卡）等并符合工程要求，变更作业设计需要有原单位批复。二是自查验收成果材料能反映作业时间、作业地点、面积、树种及作业质量等基本情况。</w:t>
      </w:r>
    </w:p>
    <w:p>
      <w:pPr>
        <w:pageBreakBefore w:val="0"/>
        <w:widowControl w:val="0"/>
        <w:kinsoku/>
        <w:wordWrap/>
        <w:overflowPunct/>
        <w:topLinePunct w:val="0"/>
        <w:autoSpaceDE/>
        <w:autoSpaceDN/>
        <w:bidi w:val="0"/>
        <w:adjustRightInd/>
        <w:snapToGrid w:val="0"/>
        <w:spacing w:line="6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六、核查验收时间、分组安排</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月中旬全面启动核查验收工作。验收时间：外业调查为1个月（阴雨天顺延），内业整理为10天。拟成立5个核查验收组，其中4个外业组，1个内业组。外业组分组安排为第一组：核查验收面积1309.51公顷；其中：北中镇面积429.98公顷；百里镇面积248.33公顷；弥陀镇面积631.2公顷。第二组：核查验收面积1676.05公顷，均为刘畈乡。第三组：核查验收面积1304.82公顷；其中：牛镇镇面积438.13公顷；汤泉乡面积317.44公顷；寺前镇面积312.25公顷；新仓镇面积164.7公顷；江塘乡面积72.3公顷。第四组：核查验收面积1281.43公顷；其中：天华镇面积489.8公顷；小池镇面积233公顷；晋熙镇面积238.63公顷；徐桥镇面积180公顷；大石乡面积140公顷。（具体面积以乡镇林业站提供的自查验收成果为准）</w:t>
      </w:r>
    </w:p>
    <w:p>
      <w:pPr>
        <w:pageBreakBefore w:val="0"/>
        <w:widowControl w:val="0"/>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11月20日完成核查验收工作，提交核查验收报告、验收表格、矢量数据等成果。</w:t>
      </w:r>
    </w:p>
    <w:p>
      <w:pPr>
        <w:pageBreakBefore w:val="0"/>
        <w:widowControl w:val="0"/>
        <w:numPr>
          <w:ilvl w:val="0"/>
          <w:numId w:val="0"/>
        </w:numPr>
        <w:kinsoku/>
        <w:wordWrap/>
        <w:overflowPunct/>
        <w:topLinePunct w:val="0"/>
        <w:autoSpaceDE/>
        <w:autoSpaceDN/>
        <w:bidi w:val="0"/>
        <w:adjustRightInd/>
        <w:snapToGrid w:val="0"/>
        <w:spacing w:line="6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kern w:val="2"/>
          <w:sz w:val="30"/>
          <w:szCs w:val="30"/>
          <w:lang w:val="en-US" w:eastAsia="zh-CN" w:bidi="ar-SA"/>
        </w:rPr>
        <w:t>七、</w:t>
      </w:r>
      <w:r>
        <w:rPr>
          <w:rFonts w:hint="eastAsia" w:ascii="仿宋" w:hAnsi="仿宋" w:eastAsia="仿宋" w:cs="仿宋"/>
          <w:b/>
          <w:bCs/>
          <w:sz w:val="30"/>
          <w:szCs w:val="30"/>
          <w:lang w:val="en-US" w:eastAsia="zh-CN"/>
        </w:rPr>
        <w:t>核查验收成果</w:t>
      </w:r>
    </w:p>
    <w:p>
      <w:pPr>
        <w:pageBreakBefore w:val="0"/>
        <w:widowControl w:val="0"/>
        <w:numPr>
          <w:ilvl w:val="0"/>
          <w:numId w:val="0"/>
        </w:numPr>
        <w:kinsoku/>
        <w:wordWrap/>
        <w:overflowPunct/>
        <w:topLinePunct w:val="0"/>
        <w:autoSpaceDE/>
        <w:autoSpaceDN/>
        <w:bidi w:val="0"/>
        <w:adjustRightInd/>
        <w:snapToGrid w:val="0"/>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核查验收附表（1）2022年度太湖县大别山安徽片生物多样性保护与近自然森林经营项目建设成效核查汇总表（2）2022年度太湖县大别山安徽片生物多样性保护与近自然森林经营项目建设成效核查登记表（3）2021年度欧洲投资银行贷款长江经济带珍稀树种保护与发展项目建设成效核查汇总表（4）2021年度欧洲投资银行贷款长江经济带珍稀树种保护与发展项目建设成效核查登记表（5）2022年度欧洲投资银行贷款长江经济带珍稀树种保护与发展项目建设成效核查汇总表（6）2022年度欧洲投资银行贷款长江经济带珍稀树种保护与发展项目建设成效核查登记表</w:t>
      </w:r>
    </w:p>
    <w:p>
      <w:pPr>
        <w:pageBreakBefore w:val="0"/>
        <w:widowControl w:val="0"/>
        <w:numPr>
          <w:ilvl w:val="0"/>
          <w:numId w:val="0"/>
        </w:numPr>
        <w:kinsoku/>
        <w:wordWrap/>
        <w:overflowPunct/>
        <w:topLinePunct w:val="0"/>
        <w:autoSpaceDE/>
        <w:autoSpaceDN/>
        <w:bidi w:val="0"/>
        <w:adjustRightInd/>
        <w:snapToGrid w:val="0"/>
        <w:spacing w:line="6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2、核查验收附图</w:t>
      </w:r>
      <w:r>
        <w:rPr>
          <w:rFonts w:hint="default" w:ascii="仿宋" w:hAnsi="仿宋" w:eastAsia="仿宋" w:cs="仿宋"/>
          <w:sz w:val="30"/>
          <w:szCs w:val="30"/>
          <w:lang w:val="en-US" w:eastAsia="zh-CN"/>
        </w:rPr>
        <w:t>（1）2022年度太湖县大别山安徽片生物多样性保护与近自然森林经营项目建设成效核查</w:t>
      </w:r>
      <w:r>
        <w:rPr>
          <w:rFonts w:hint="eastAsia" w:ascii="仿宋" w:hAnsi="仿宋" w:eastAsia="仿宋" w:cs="仿宋"/>
          <w:sz w:val="30"/>
          <w:szCs w:val="30"/>
          <w:lang w:val="en-US" w:eastAsia="zh-CN"/>
        </w:rPr>
        <w:t>小班图</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2</w:t>
      </w:r>
      <w:r>
        <w:rPr>
          <w:rFonts w:hint="default" w:ascii="仿宋" w:hAnsi="仿宋" w:eastAsia="仿宋" w:cs="仿宋"/>
          <w:sz w:val="30"/>
          <w:szCs w:val="30"/>
          <w:lang w:val="en-US" w:eastAsia="zh-CN"/>
        </w:rPr>
        <w:t>）2021年度欧洲投资银行贷款长江经济带珍稀树种保护与发展项目建设成效核查</w:t>
      </w:r>
      <w:r>
        <w:rPr>
          <w:rFonts w:hint="eastAsia" w:ascii="仿宋" w:hAnsi="仿宋" w:eastAsia="仿宋" w:cs="仿宋"/>
          <w:sz w:val="30"/>
          <w:szCs w:val="30"/>
          <w:lang w:val="en-US" w:eastAsia="zh-CN"/>
        </w:rPr>
        <w:t>小班图</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3</w:t>
      </w:r>
      <w:r>
        <w:rPr>
          <w:rFonts w:hint="default" w:ascii="仿宋" w:hAnsi="仿宋" w:eastAsia="仿宋" w:cs="仿宋"/>
          <w:sz w:val="30"/>
          <w:szCs w:val="30"/>
          <w:lang w:val="en-US" w:eastAsia="zh-CN"/>
        </w:rPr>
        <w:t>）2022年度欧洲投资银行贷款长江经济带珍稀树种保护与发展项目建设成效核查小班图</w:t>
      </w:r>
    </w:p>
    <w:p>
      <w:pPr>
        <w:pageBreakBefore w:val="0"/>
        <w:widowControl w:val="0"/>
        <w:numPr>
          <w:ilvl w:val="0"/>
          <w:numId w:val="0"/>
        </w:numPr>
        <w:kinsoku/>
        <w:wordWrap/>
        <w:overflowPunct/>
        <w:topLinePunct w:val="0"/>
        <w:autoSpaceDE/>
        <w:autoSpaceDN/>
        <w:bidi w:val="0"/>
        <w:adjustRightInd/>
        <w:snapToGrid w:val="0"/>
        <w:spacing w:line="600" w:lineRule="exact"/>
        <w:ind w:firstLine="600" w:firstLineChars="200"/>
        <w:textAlignment w:val="auto"/>
        <w:rPr>
          <w:rFonts w:asciiTheme="minorHAnsi" w:hAnsiTheme="minorHAnsi" w:eastAsiaTheme="minorEastAsia" w:cstheme="minorBidi"/>
          <w:sz w:val="28"/>
          <w:szCs w:val="28"/>
        </w:rPr>
      </w:pPr>
      <w:r>
        <w:rPr>
          <w:rFonts w:hint="eastAsia" w:ascii="仿宋" w:hAnsi="仿宋" w:eastAsia="仿宋" w:cs="仿宋"/>
          <w:sz w:val="30"/>
          <w:szCs w:val="30"/>
          <w:lang w:val="en-US" w:eastAsia="zh-CN"/>
        </w:rPr>
        <w:t>3、核查验收报告（1）核查验收工作开展情况；（2）核查验收内容和方法；（3）核查验收工作量；（4）核查验收主要指标；（5）主要经验与做法（附典型照片）；（6）存在问题与建议（附典型照片）。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NTA2ZGJjNzhkMDlkNWNjOGFlN2NjODgwYzFiNDEifQ=="/>
  </w:docVars>
  <w:rsids>
    <w:rsidRoot w:val="006B379E"/>
    <w:rsid w:val="00076848"/>
    <w:rsid w:val="004F0C03"/>
    <w:rsid w:val="006B379E"/>
    <w:rsid w:val="006B7AB9"/>
    <w:rsid w:val="006D4B87"/>
    <w:rsid w:val="007708EE"/>
    <w:rsid w:val="00C1776A"/>
    <w:rsid w:val="09FF62A0"/>
    <w:rsid w:val="0D5B518F"/>
    <w:rsid w:val="15897F1C"/>
    <w:rsid w:val="24726959"/>
    <w:rsid w:val="2C70553A"/>
    <w:rsid w:val="3350577D"/>
    <w:rsid w:val="64AF5EF8"/>
    <w:rsid w:val="7467454E"/>
    <w:rsid w:val="76617F46"/>
    <w:rsid w:val="7A5E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ind w:firstLine="420"/>
      <w:jc w:val="left"/>
    </w:pPr>
    <w:rPr>
      <w:rFonts w:ascii="宋体"/>
      <w:kern w:val="0"/>
      <w:sz w:val="24"/>
      <w:szCs w:val="20"/>
    </w:rPr>
  </w:style>
  <w:style w:type="paragraph" w:styleId="4">
    <w:name w:val="Body Text First Indent 2"/>
    <w:basedOn w:val="5"/>
    <w:unhideWhenUsed/>
    <w:qFormat/>
    <w:uiPriority w:val="0"/>
    <w:pPr>
      <w:ind w:firstLine="420" w:firstLineChars="200"/>
      <w:jc w:val="left"/>
    </w:pPr>
    <w:rPr>
      <w:rFonts w:ascii="Calibri" w:hAnsi="Calibri"/>
      <w:kern w:val="0"/>
      <w:sz w:val="22"/>
      <w:szCs w:val="22"/>
      <w:lang w:eastAsia="en-US"/>
    </w:rPr>
  </w:style>
  <w:style w:type="paragraph" w:styleId="5">
    <w:name w:val="Body Text Indent"/>
    <w:basedOn w:val="1"/>
    <w:next w:val="6"/>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82F6-D3EA-4F23-B972-F2FF3A40F1BE}">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1352</Characters>
  <Lines>11</Lines>
  <Paragraphs>3</Paragraphs>
  <TotalTime>5</TotalTime>
  <ScaleCrop>false</ScaleCrop>
  <LinksUpToDate>false</LinksUpToDate>
  <CharactersWithSpaces>1586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2022-05-20T09:16:00Z</dcterms:created>
  <dc:creator>Administrator</dc:creator>
  <cp:lastModifiedBy>太湖有渔</cp:lastModifiedBy>
  <dcterms:modified xsi:type="dcterms:W3CDTF">2023-10-07T07:12:39Z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E60E11A7CF0D4315B176B034F7B92896_13</vt:lpwstr>
  </property>
</Properties>
</file>