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微软雅黑" w:hAnsi="微软雅黑" w:eastAsia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关于为【安庆市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  <w:lang w:val="en-US" w:eastAsia="zh-CN"/>
        </w:rPr>
        <w:t>太湖县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弥陀养老院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  <w:lang w:val="en-US" w:eastAsia="zh-CN"/>
        </w:rPr>
        <w:t>太湖县小池养老院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建设项目】公开选取【可行性研究报告编制】机构的公告</w:t>
      </w:r>
    </w:p>
    <w:p>
      <w:pPr>
        <w:spacing w:line="400" w:lineRule="exact"/>
        <w:rPr>
          <w:rFonts w:ascii="微软雅黑" w:hAnsi="微软雅黑" w:eastAsia="微软雅黑"/>
          <w:color w:val="444444"/>
          <w:szCs w:val="21"/>
          <w:shd w:val="clear" w:color="auto" w:fill="FFFFFF"/>
        </w:rPr>
      </w:pPr>
      <w:bookmarkStart w:id="0" w:name="_GoBack"/>
      <w:bookmarkEnd w:id="0"/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color w:val="444444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color w:val="444444"/>
                <w:szCs w:val="21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安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庆市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太湖县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弥陀养老院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太湖县小池养老院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建设项目可行性研究报告编制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color w:val="444444"/>
                <w:szCs w:val="21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太湖县民政局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仿宋_GB2312" w:hAnsi="华文仿宋" w:eastAsia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太湖县弥陀养老院建设内容及规模：新建养老服务用房建筑面积2408平方米及相关配套设施，设置养老床位56张；太湖县小池养老院建设内容及规模：新建养老服务用房建筑面积2580平方米及相关配套设施，设置养老床位60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可行性研究报告编制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Cs/>
                <w:szCs w:val="21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中选后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个工作日内完成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hAnsi="华文仿宋" w:eastAsia="仿宋_GB2312"/>
                <w:b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本次采购服务金额按相关收费标准及结合市场调节价计算，最终以中标价为准。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服务内容：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ind w:firstLine="420" w:firstLineChars="200"/>
              <w:rPr>
                <w:rStyle w:val="9"/>
                <w:rFonts w:ascii="仿宋_GB2312" w:hAnsi="华文仿宋" w:eastAsia="仿宋_GB2312"/>
                <w:b w:val="0"/>
                <w:szCs w:val="21"/>
                <w:highlight w:val="yellow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根据相关文件精神及县发改委工作要求，科学编制太湖县弥陀养老院和太湖县小池养老院可行性研究报告。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直接选取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lang w:val="en-US" w:eastAsia="zh-CN"/>
              </w:rPr>
              <w:t>6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ascii="仿宋_GB2312" w:hAnsi="华文仿宋" w:eastAsia="仿宋_GB2312"/>
                <w:szCs w:val="21"/>
                <w:shd w:val="clear" w:color="auto" w:fill="FFFFFF"/>
              </w:rPr>
              <w:t>202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3年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月1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ascii="仿宋_GB2312" w:hAnsi="华文仿宋" w:eastAsia="仿宋_GB2312"/>
                <w:szCs w:val="21"/>
                <w:shd w:val="clear" w:color="auto" w:fill="FFFFFF"/>
              </w:rPr>
              <w:t>202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3年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月1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eastAsia="仿宋_GB2312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已在中国境内注册，在法律上、财务上独立，经营范围必须满足本次服务范围，具有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工程建设项目可行性研究报告编制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资质且已入驻太湖县中介超市的企业。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参与要求：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诚信参与，理性报价，违约必究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hAnsi="华文仿宋"/>
                <w:b w:val="0"/>
              </w:rPr>
              <w:t>章小安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</w:rPr>
              <w:t>18055605790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</w:rPr>
              <w:t>0556-4187644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</w:tc>
      </w:tr>
    </w:tbl>
    <w:p>
      <w:pPr>
        <w:spacing w:line="400" w:lineRule="exact"/>
        <w:rPr>
          <w:szCs w:val="21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ODZmMTEyZGFiNGU4OGVkOTVlMTNjNDQzODI0ZjEifQ==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D1BEC"/>
    <w:rsid w:val="000E77E3"/>
    <w:rsid w:val="000F3034"/>
    <w:rsid w:val="000F53AB"/>
    <w:rsid w:val="00133B16"/>
    <w:rsid w:val="00161ADF"/>
    <w:rsid w:val="0017496E"/>
    <w:rsid w:val="00183B2C"/>
    <w:rsid w:val="0019145F"/>
    <w:rsid w:val="001D52D3"/>
    <w:rsid w:val="001D5AB6"/>
    <w:rsid w:val="001E1BF8"/>
    <w:rsid w:val="001F0898"/>
    <w:rsid w:val="001F7861"/>
    <w:rsid w:val="00213F3E"/>
    <w:rsid w:val="00216D7C"/>
    <w:rsid w:val="002301BB"/>
    <w:rsid w:val="00230576"/>
    <w:rsid w:val="00234A9D"/>
    <w:rsid w:val="002748C3"/>
    <w:rsid w:val="00292905"/>
    <w:rsid w:val="002A227E"/>
    <w:rsid w:val="002F05A9"/>
    <w:rsid w:val="00307E14"/>
    <w:rsid w:val="00312168"/>
    <w:rsid w:val="00314943"/>
    <w:rsid w:val="00324E04"/>
    <w:rsid w:val="00326F06"/>
    <w:rsid w:val="003320F8"/>
    <w:rsid w:val="003408AE"/>
    <w:rsid w:val="00343D32"/>
    <w:rsid w:val="003715CF"/>
    <w:rsid w:val="00392F11"/>
    <w:rsid w:val="003A1A49"/>
    <w:rsid w:val="003A4E0C"/>
    <w:rsid w:val="003C2DDF"/>
    <w:rsid w:val="003F68DE"/>
    <w:rsid w:val="00406ABA"/>
    <w:rsid w:val="00436449"/>
    <w:rsid w:val="00481628"/>
    <w:rsid w:val="004E3C59"/>
    <w:rsid w:val="00505B06"/>
    <w:rsid w:val="00514097"/>
    <w:rsid w:val="00521469"/>
    <w:rsid w:val="005269A9"/>
    <w:rsid w:val="00540369"/>
    <w:rsid w:val="005449B4"/>
    <w:rsid w:val="005474BD"/>
    <w:rsid w:val="00556887"/>
    <w:rsid w:val="005B0003"/>
    <w:rsid w:val="005B64C4"/>
    <w:rsid w:val="005C555D"/>
    <w:rsid w:val="005D3304"/>
    <w:rsid w:val="00611E2D"/>
    <w:rsid w:val="00614AD6"/>
    <w:rsid w:val="00615F13"/>
    <w:rsid w:val="00621244"/>
    <w:rsid w:val="0062127A"/>
    <w:rsid w:val="006274F7"/>
    <w:rsid w:val="00627E08"/>
    <w:rsid w:val="00646016"/>
    <w:rsid w:val="00657B30"/>
    <w:rsid w:val="00665453"/>
    <w:rsid w:val="00676796"/>
    <w:rsid w:val="006A72FA"/>
    <w:rsid w:val="006B76C6"/>
    <w:rsid w:val="006C4D34"/>
    <w:rsid w:val="006D0102"/>
    <w:rsid w:val="006D04E7"/>
    <w:rsid w:val="006F798B"/>
    <w:rsid w:val="0071625C"/>
    <w:rsid w:val="00717146"/>
    <w:rsid w:val="0074193D"/>
    <w:rsid w:val="00747D31"/>
    <w:rsid w:val="0075742F"/>
    <w:rsid w:val="007577C9"/>
    <w:rsid w:val="007936AC"/>
    <w:rsid w:val="007A0234"/>
    <w:rsid w:val="007D4CE3"/>
    <w:rsid w:val="007D7A6F"/>
    <w:rsid w:val="00831150"/>
    <w:rsid w:val="008315C9"/>
    <w:rsid w:val="0083674C"/>
    <w:rsid w:val="00864EED"/>
    <w:rsid w:val="008777FF"/>
    <w:rsid w:val="00880191"/>
    <w:rsid w:val="00884642"/>
    <w:rsid w:val="00884901"/>
    <w:rsid w:val="008A1C90"/>
    <w:rsid w:val="008A735B"/>
    <w:rsid w:val="008C5C9C"/>
    <w:rsid w:val="008E24CE"/>
    <w:rsid w:val="008E2549"/>
    <w:rsid w:val="008E38BA"/>
    <w:rsid w:val="008F397D"/>
    <w:rsid w:val="00911DDB"/>
    <w:rsid w:val="0091382F"/>
    <w:rsid w:val="00924251"/>
    <w:rsid w:val="009266A3"/>
    <w:rsid w:val="00932541"/>
    <w:rsid w:val="00971753"/>
    <w:rsid w:val="009740E0"/>
    <w:rsid w:val="00975B47"/>
    <w:rsid w:val="00977B6D"/>
    <w:rsid w:val="009D0B4C"/>
    <w:rsid w:val="009E0593"/>
    <w:rsid w:val="009E0C3A"/>
    <w:rsid w:val="009E5246"/>
    <w:rsid w:val="009F4876"/>
    <w:rsid w:val="00A057DF"/>
    <w:rsid w:val="00A07E2D"/>
    <w:rsid w:val="00A11689"/>
    <w:rsid w:val="00A2637E"/>
    <w:rsid w:val="00A42F9D"/>
    <w:rsid w:val="00A5172F"/>
    <w:rsid w:val="00A84F95"/>
    <w:rsid w:val="00AA50CE"/>
    <w:rsid w:val="00AB3941"/>
    <w:rsid w:val="00AC42C2"/>
    <w:rsid w:val="00AF1267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603F"/>
    <w:rsid w:val="00B83A91"/>
    <w:rsid w:val="00B85340"/>
    <w:rsid w:val="00B932C5"/>
    <w:rsid w:val="00B94032"/>
    <w:rsid w:val="00BB377E"/>
    <w:rsid w:val="00BE0232"/>
    <w:rsid w:val="00BE1FA6"/>
    <w:rsid w:val="00BE698D"/>
    <w:rsid w:val="00C053B7"/>
    <w:rsid w:val="00C330AD"/>
    <w:rsid w:val="00C94BB4"/>
    <w:rsid w:val="00CB4DDA"/>
    <w:rsid w:val="00CD2765"/>
    <w:rsid w:val="00CD2A8C"/>
    <w:rsid w:val="00CD3997"/>
    <w:rsid w:val="00CD4D47"/>
    <w:rsid w:val="00CE5A33"/>
    <w:rsid w:val="00CF1661"/>
    <w:rsid w:val="00CF41C1"/>
    <w:rsid w:val="00CF5346"/>
    <w:rsid w:val="00D03EE7"/>
    <w:rsid w:val="00D11E8B"/>
    <w:rsid w:val="00D21B58"/>
    <w:rsid w:val="00D30DFC"/>
    <w:rsid w:val="00D4371D"/>
    <w:rsid w:val="00D54B22"/>
    <w:rsid w:val="00D556D2"/>
    <w:rsid w:val="00D67D66"/>
    <w:rsid w:val="00D76879"/>
    <w:rsid w:val="00D95EFA"/>
    <w:rsid w:val="00D97CF8"/>
    <w:rsid w:val="00E06BC7"/>
    <w:rsid w:val="00E11164"/>
    <w:rsid w:val="00E27D2F"/>
    <w:rsid w:val="00E33648"/>
    <w:rsid w:val="00E56357"/>
    <w:rsid w:val="00E83628"/>
    <w:rsid w:val="00EA449F"/>
    <w:rsid w:val="00EC6AA2"/>
    <w:rsid w:val="00ED3E25"/>
    <w:rsid w:val="00EE5324"/>
    <w:rsid w:val="00EE58E6"/>
    <w:rsid w:val="00EE79C8"/>
    <w:rsid w:val="00EF7548"/>
    <w:rsid w:val="00F15722"/>
    <w:rsid w:val="00F219C6"/>
    <w:rsid w:val="00F25E0B"/>
    <w:rsid w:val="00F3214F"/>
    <w:rsid w:val="00F65BB6"/>
    <w:rsid w:val="00F74905"/>
    <w:rsid w:val="00FA111E"/>
    <w:rsid w:val="00FA7308"/>
    <w:rsid w:val="00FB1C1E"/>
    <w:rsid w:val="00FE3105"/>
    <w:rsid w:val="00FF7BA3"/>
    <w:rsid w:val="059740A7"/>
    <w:rsid w:val="1B941D8C"/>
    <w:rsid w:val="1E7A194F"/>
    <w:rsid w:val="20611EEF"/>
    <w:rsid w:val="24343523"/>
    <w:rsid w:val="27703D0C"/>
    <w:rsid w:val="31A75667"/>
    <w:rsid w:val="32041AC0"/>
    <w:rsid w:val="3893533B"/>
    <w:rsid w:val="3FC030F4"/>
    <w:rsid w:val="462C51E2"/>
    <w:rsid w:val="46B0054C"/>
    <w:rsid w:val="48A57EC2"/>
    <w:rsid w:val="49F86961"/>
    <w:rsid w:val="4F0026D8"/>
    <w:rsid w:val="50F666C7"/>
    <w:rsid w:val="51FD20AD"/>
    <w:rsid w:val="5E1D2065"/>
    <w:rsid w:val="63297325"/>
    <w:rsid w:val="65B96AB6"/>
    <w:rsid w:val="660373FF"/>
    <w:rsid w:val="66775B61"/>
    <w:rsid w:val="76FB6125"/>
    <w:rsid w:val="77AD6FAC"/>
    <w:rsid w:val="7B7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300" w:after="150" w:line="17" w:lineRule="atLeast"/>
      <w:jc w:val="left"/>
      <w:outlineLvl w:val="2"/>
    </w:pPr>
    <w:rPr>
      <w:rFonts w:hint="eastAsia" w:ascii="宋体" w:hAnsi="宋体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555555"/>
      <w:u w:val="none"/>
    </w:rPr>
  </w:style>
  <w:style w:type="character" w:styleId="11">
    <w:name w:val="Emphasis"/>
    <w:basedOn w:val="8"/>
    <w:qFormat/>
    <w:locked/>
    <w:uiPriority w:val="0"/>
    <w:rPr>
      <w:i/>
    </w:rPr>
  </w:style>
  <w:style w:type="character" w:styleId="12">
    <w:name w:val="HTML Definition"/>
    <w:basedOn w:val="8"/>
    <w:semiHidden/>
    <w:unhideWhenUsed/>
    <w:qFormat/>
    <w:uiPriority w:val="99"/>
    <w:rPr>
      <w:i/>
      <w:iCs/>
    </w:rPr>
  </w:style>
  <w:style w:type="character" w:styleId="13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7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Char Char1"/>
    <w:basedOn w:val="1"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irst-child"/>
    <w:basedOn w:val="8"/>
    <w:qFormat/>
    <w:uiPriority w:val="0"/>
  </w:style>
  <w:style w:type="character" w:customStyle="1" w:styleId="22">
    <w:name w:val="layui-this"/>
    <w:basedOn w:val="8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495</Words>
  <Characters>532</Characters>
  <Lines>4</Lines>
  <Paragraphs>1</Paragraphs>
  <TotalTime>0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2021-07-07T07:04:00Z</dcterms:created>
  <dc:creator>th</dc:creator>
  <cp:lastModifiedBy>海水深蓝</cp:lastModifiedBy>
  <cp:lastPrinted>2021-07-08T02:02:00Z</cp:lastPrinted>
  <dcterms:modified xsi:type="dcterms:W3CDTF">2023-07-17T05:35:54Z</dcterms:modified>
  <dc:title>关于太湖县G105京澳线及S246河华路路面修复养护工程公开选取【施工图设计】机构的公告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B35597507F9A4238904DC0D6E22824F9_13</vt:lpwstr>
  </property>
</Properties>
</file>